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63" w:rsidRPr="00026546" w:rsidRDefault="00CA5F63" w:rsidP="00CA5F63">
      <w:pPr>
        <w:pStyle w:val="a3"/>
        <w:jc w:val="center"/>
        <w:rPr>
          <w:spacing w:val="-10"/>
          <w:sz w:val="24"/>
          <w:szCs w:val="28"/>
        </w:rPr>
      </w:pPr>
      <w:r w:rsidRPr="00026546">
        <w:rPr>
          <w:spacing w:val="-10"/>
          <w:szCs w:val="28"/>
        </w:rPr>
        <w:t>МИНИСТЕРСТВО ЗДРАВООХРАНЕНИЯ И РОССИЙСКОЙ ФЕДЕРАЦИИ</w:t>
      </w:r>
    </w:p>
    <w:p w:rsidR="00CA5F63" w:rsidRPr="00026546" w:rsidRDefault="00CA5F63" w:rsidP="00CA5F63">
      <w:pPr>
        <w:pStyle w:val="a3"/>
        <w:tabs>
          <w:tab w:val="left" w:pos="3828"/>
        </w:tabs>
        <w:jc w:val="center"/>
        <w:rPr>
          <w:sz w:val="20"/>
          <w:szCs w:val="28"/>
        </w:rPr>
      </w:pPr>
    </w:p>
    <w:p w:rsidR="00CA5F63" w:rsidRPr="00B90D0C" w:rsidRDefault="00CA5F63" w:rsidP="00CA5F63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</w:rPr>
      </w:pPr>
      <w:r w:rsidRPr="00026546">
        <w:rPr>
          <w:rFonts w:ascii="Times New Roman" w:hAnsi="Times New Roman"/>
          <w:snapToGrid w:val="0"/>
        </w:rPr>
        <w:t>ГОСУДАРСТВЕННЫЙ СТАНДАРТ КАЧЕСТВА ЛЕКАРСТВЕННОГО СРЕДСТВА</w:t>
      </w:r>
    </w:p>
    <w:p w:rsidR="00CA5F63" w:rsidRPr="00B90D0C" w:rsidRDefault="00CA5F63" w:rsidP="00CA5F63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</w:rPr>
      </w:pPr>
    </w:p>
    <w:p w:rsidR="00CA5F63" w:rsidRDefault="00CA5F63" w:rsidP="00CA5F63">
      <w:pPr>
        <w:pStyle w:val="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napToGrid w:val="0"/>
          <w:sz w:val="32"/>
        </w:rPr>
        <w:t>ФАРМАКОПЕЙНАЯ СТАТЬЯ</w:t>
      </w:r>
    </w:p>
    <w:p w:rsidR="00CA5F63" w:rsidRDefault="00CA5F63" w:rsidP="00CA5F63">
      <w:pPr>
        <w:tabs>
          <w:tab w:val="left" w:pos="5040"/>
        </w:tabs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Иммуноглобулин</w:t>
      </w:r>
      <w:r>
        <w:rPr>
          <w:b/>
          <w:sz w:val="28"/>
          <w:szCs w:val="28"/>
        </w:rPr>
        <w:tab/>
        <w:t xml:space="preserve">ФС </w:t>
      </w:r>
    </w:p>
    <w:p w:rsidR="00CA5F63" w:rsidRPr="002B2476" w:rsidRDefault="00CA5F63" w:rsidP="00CA5F63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>
        <w:rPr>
          <w:b/>
          <w:szCs w:val="28"/>
        </w:rPr>
        <w:t>ч</w:t>
      </w:r>
      <w:r w:rsidRPr="002668E7">
        <w:rPr>
          <w:b/>
          <w:szCs w:val="28"/>
        </w:rPr>
        <w:t>ело</w:t>
      </w:r>
      <w:r>
        <w:rPr>
          <w:b/>
          <w:szCs w:val="28"/>
        </w:rPr>
        <w:t>века противооспенный</w:t>
      </w:r>
      <w:r>
        <w:rPr>
          <w:szCs w:val="28"/>
        </w:rPr>
        <w:tab/>
        <w:t>Вводится впервые</w:t>
      </w:r>
    </w:p>
    <w:p w:rsidR="00CA5F63" w:rsidRDefault="00CA5F63" w:rsidP="00CA5F63">
      <w:pPr>
        <w:spacing w:line="360" w:lineRule="auto"/>
        <w:jc w:val="center"/>
        <w:rPr>
          <w:b/>
          <w:sz w:val="20"/>
          <w:szCs w:val="20"/>
        </w:rPr>
      </w:pPr>
    </w:p>
    <w:p w:rsidR="00CA5F63" w:rsidRDefault="00F170D1" w:rsidP="00F170D1">
      <w:pPr>
        <w:spacing w:line="360" w:lineRule="auto"/>
        <w:ind w:firstLine="709"/>
        <w:jc w:val="both"/>
        <w:rPr>
          <w:sz w:val="28"/>
          <w:szCs w:val="28"/>
        </w:rPr>
      </w:pPr>
      <w:r w:rsidRPr="008F359E">
        <w:rPr>
          <w:sz w:val="28"/>
          <w:szCs w:val="28"/>
        </w:rPr>
        <w:t>Настоящая фармакопейная статья распространяется на и</w:t>
      </w:r>
      <w:r w:rsidR="00CA5F63" w:rsidRPr="008F359E">
        <w:rPr>
          <w:sz w:val="28"/>
          <w:szCs w:val="28"/>
        </w:rPr>
        <w:t>ммуноглобулин человека противооспенный, раствор для внутримышечного введения</w:t>
      </w:r>
      <w:r w:rsidRPr="008F359E">
        <w:rPr>
          <w:sz w:val="28"/>
          <w:szCs w:val="28"/>
        </w:rPr>
        <w:t>, применяемый в качестве</w:t>
      </w:r>
      <w:r w:rsidR="00A431CE" w:rsidRPr="008F359E">
        <w:rPr>
          <w:sz w:val="28"/>
          <w:szCs w:val="28"/>
        </w:rPr>
        <w:t xml:space="preserve"> </w:t>
      </w:r>
      <w:r w:rsidR="00CA5F63" w:rsidRPr="008F359E">
        <w:rPr>
          <w:sz w:val="28"/>
          <w:szCs w:val="28"/>
        </w:rPr>
        <w:t>лекарствен</w:t>
      </w:r>
      <w:r w:rsidRPr="008F359E">
        <w:rPr>
          <w:sz w:val="28"/>
          <w:szCs w:val="28"/>
        </w:rPr>
        <w:t>ного</w:t>
      </w:r>
      <w:r w:rsidR="00CA5F63" w:rsidRPr="008F359E">
        <w:rPr>
          <w:sz w:val="28"/>
          <w:szCs w:val="28"/>
        </w:rPr>
        <w:t xml:space="preserve"> средст</w:t>
      </w:r>
      <w:r w:rsidRPr="008F359E">
        <w:rPr>
          <w:sz w:val="28"/>
          <w:szCs w:val="28"/>
        </w:rPr>
        <w:t>ва. Д</w:t>
      </w:r>
      <w:r w:rsidR="00CA5F63" w:rsidRPr="008F359E">
        <w:rPr>
          <w:sz w:val="28"/>
          <w:szCs w:val="28"/>
        </w:rPr>
        <w:t>ействующим началом</w:t>
      </w:r>
      <w:r w:rsidR="00F96D89" w:rsidRPr="008F359E">
        <w:rPr>
          <w:sz w:val="28"/>
          <w:szCs w:val="28"/>
        </w:rPr>
        <w:t xml:space="preserve"> препарата</w:t>
      </w:r>
      <w:r w:rsidR="00CA5F63" w:rsidRPr="008F359E">
        <w:rPr>
          <w:sz w:val="28"/>
          <w:szCs w:val="28"/>
        </w:rPr>
        <w:t xml:space="preserve"> являются антитела, содержащиеся в иммуноглобулине </w:t>
      </w:r>
      <w:r w:rsidR="00CA5F63" w:rsidRPr="008F359E">
        <w:rPr>
          <w:sz w:val="28"/>
          <w:szCs w:val="28"/>
          <w:lang w:val="en-US"/>
        </w:rPr>
        <w:t>G</w:t>
      </w:r>
      <w:r w:rsidR="00AD38D1" w:rsidRPr="00AD38D1">
        <w:rPr>
          <w:sz w:val="28"/>
          <w:szCs w:val="28"/>
        </w:rPr>
        <w:t xml:space="preserve"> (</w:t>
      </w:r>
      <w:proofErr w:type="spellStart"/>
      <w:r w:rsidR="00AD38D1">
        <w:rPr>
          <w:sz w:val="28"/>
          <w:szCs w:val="28"/>
          <w:lang w:val="en-US"/>
        </w:rPr>
        <w:t>Ig</w:t>
      </w:r>
      <w:proofErr w:type="spellEnd"/>
      <w:r w:rsidR="00AD38D1" w:rsidRPr="00AD38D1">
        <w:rPr>
          <w:sz w:val="28"/>
          <w:szCs w:val="28"/>
        </w:rPr>
        <w:t xml:space="preserve"> </w:t>
      </w:r>
      <w:r w:rsidR="00AD38D1">
        <w:rPr>
          <w:sz w:val="28"/>
          <w:szCs w:val="28"/>
          <w:lang w:val="en-US"/>
        </w:rPr>
        <w:t>G</w:t>
      </w:r>
      <w:r w:rsidR="00AD38D1" w:rsidRPr="00AD38D1">
        <w:rPr>
          <w:sz w:val="28"/>
          <w:szCs w:val="28"/>
        </w:rPr>
        <w:t>)</w:t>
      </w:r>
      <w:r w:rsidR="00CA5F63" w:rsidRPr="008F359E">
        <w:rPr>
          <w:sz w:val="28"/>
          <w:szCs w:val="28"/>
        </w:rPr>
        <w:t xml:space="preserve"> и обладающие специ</w:t>
      </w:r>
      <w:r w:rsidR="004C5064" w:rsidRPr="008F359E">
        <w:rPr>
          <w:sz w:val="28"/>
          <w:szCs w:val="28"/>
        </w:rPr>
        <w:t xml:space="preserve">фической активностью к </w:t>
      </w:r>
      <w:proofErr w:type="spellStart"/>
      <w:r w:rsidR="004C5064" w:rsidRPr="008F359E">
        <w:rPr>
          <w:sz w:val="28"/>
          <w:szCs w:val="28"/>
        </w:rPr>
        <w:t>ортопокс</w:t>
      </w:r>
      <w:r w:rsidR="00CA5F63" w:rsidRPr="008F359E">
        <w:rPr>
          <w:sz w:val="28"/>
          <w:szCs w:val="28"/>
        </w:rPr>
        <w:t>вирусам</w:t>
      </w:r>
      <w:proofErr w:type="spellEnd"/>
      <w:r w:rsidR="00CA5F63" w:rsidRPr="008F359E">
        <w:rPr>
          <w:sz w:val="28"/>
          <w:szCs w:val="28"/>
        </w:rPr>
        <w:t>.</w:t>
      </w:r>
      <w:r w:rsidR="00CA5F63">
        <w:rPr>
          <w:sz w:val="28"/>
          <w:szCs w:val="28"/>
        </w:rPr>
        <w:t xml:space="preserve"> </w:t>
      </w:r>
    </w:p>
    <w:p w:rsidR="00CF2FA8" w:rsidRPr="00DE4958" w:rsidRDefault="00CF2FA8" w:rsidP="00365279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8F359E">
        <w:rPr>
          <w:sz w:val="28"/>
          <w:szCs w:val="28"/>
        </w:rPr>
        <w:t>К вспомогательным компонентам препарата относятся вещества, вносимые в препарат</w:t>
      </w:r>
      <w:r w:rsidR="005A321A" w:rsidRPr="008F359E">
        <w:rPr>
          <w:sz w:val="28"/>
          <w:szCs w:val="28"/>
        </w:rPr>
        <w:t xml:space="preserve">: </w:t>
      </w:r>
      <w:r w:rsidRPr="008F359E">
        <w:rPr>
          <w:sz w:val="28"/>
          <w:szCs w:val="28"/>
        </w:rPr>
        <w:t>стабилизатор</w:t>
      </w:r>
      <w:r w:rsidR="005A321A" w:rsidRPr="008F359E">
        <w:rPr>
          <w:sz w:val="28"/>
          <w:szCs w:val="28"/>
        </w:rPr>
        <w:t xml:space="preserve"> – глицин (кислота аминоуксусная)</w:t>
      </w:r>
      <w:r w:rsidR="00365279" w:rsidRPr="008F359E">
        <w:rPr>
          <w:sz w:val="28"/>
          <w:szCs w:val="28"/>
        </w:rPr>
        <w:t>.</w:t>
      </w:r>
      <w:r w:rsidRPr="008F359E">
        <w:rPr>
          <w:sz w:val="28"/>
          <w:szCs w:val="28"/>
        </w:rPr>
        <w:t xml:space="preserve"> </w:t>
      </w:r>
      <w:r w:rsidR="005A321A" w:rsidRPr="008F359E">
        <w:rPr>
          <w:sz w:val="28"/>
          <w:szCs w:val="28"/>
        </w:rPr>
        <w:t xml:space="preserve">Его </w:t>
      </w:r>
      <w:r w:rsidRPr="008F359E">
        <w:rPr>
          <w:sz w:val="28"/>
          <w:szCs w:val="28"/>
        </w:rPr>
        <w:t>количество должно быть отражено в</w:t>
      </w:r>
      <w:r w:rsidR="005A321A" w:rsidRPr="008F359E">
        <w:rPr>
          <w:sz w:val="28"/>
          <w:szCs w:val="28"/>
        </w:rPr>
        <w:t xml:space="preserve"> нормативной документации производителя</w:t>
      </w:r>
      <w:r w:rsidRPr="008F359E">
        <w:rPr>
          <w:sz w:val="28"/>
          <w:szCs w:val="28"/>
        </w:rPr>
        <w:t xml:space="preserve">. </w:t>
      </w:r>
    </w:p>
    <w:p w:rsidR="00CA5F63" w:rsidRPr="00026546" w:rsidRDefault="00CA5F63" w:rsidP="00365279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  <w:r w:rsidRPr="00B90D0C">
        <w:rPr>
          <w:sz w:val="28"/>
          <w:szCs w:val="28"/>
        </w:rPr>
        <w:tab/>
      </w:r>
      <w:r>
        <w:rPr>
          <w:sz w:val="28"/>
          <w:szCs w:val="28"/>
        </w:rPr>
        <w:t>ПРОИЗВОДСТВО</w:t>
      </w:r>
    </w:p>
    <w:p w:rsidR="00CA5F63" w:rsidRPr="00A85DE6" w:rsidRDefault="00CA5F63" w:rsidP="0036527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Иммуноглобулин</w:t>
      </w:r>
      <w:r w:rsidRPr="00F57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 противооспенный относится к специфическим иммуноглобулинам направленного действия, его выделяют только из </w:t>
      </w:r>
      <w:r>
        <w:rPr>
          <w:rFonts w:eastAsia="Calibri"/>
          <w:sz w:val="28"/>
          <w:szCs w:val="28"/>
        </w:rPr>
        <w:t>плазмы крови зд</w:t>
      </w:r>
      <w:r w:rsidR="00014B84">
        <w:rPr>
          <w:rFonts w:eastAsia="Calibri"/>
          <w:sz w:val="28"/>
          <w:szCs w:val="28"/>
        </w:rPr>
        <w:t>оровых доноров</w:t>
      </w:r>
      <w:r>
        <w:rPr>
          <w:rFonts w:eastAsia="Calibri"/>
          <w:sz w:val="28"/>
          <w:szCs w:val="28"/>
        </w:rPr>
        <w:t xml:space="preserve"> в  соответствии с требованиями </w:t>
      </w:r>
      <w:r w:rsidR="00AD38D1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ФС «Плазма для фракционирования».</w:t>
      </w:r>
    </w:p>
    <w:p w:rsidR="00DE7BA1" w:rsidRPr="00A85A4D" w:rsidRDefault="00CA5F63" w:rsidP="00365279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</w:t>
      </w:r>
      <w:r w:rsidR="00FD7206">
        <w:rPr>
          <w:sz w:val="28"/>
          <w:szCs w:val="28"/>
        </w:rPr>
        <w:t>огия производства</w:t>
      </w:r>
      <w:r w:rsidR="00FD7206" w:rsidRPr="00FD7206">
        <w:rPr>
          <w:sz w:val="28"/>
          <w:szCs w:val="28"/>
        </w:rPr>
        <w:t xml:space="preserve"> </w:t>
      </w:r>
      <w:r w:rsidR="00FD7206">
        <w:rPr>
          <w:sz w:val="28"/>
          <w:szCs w:val="28"/>
        </w:rPr>
        <w:t>иммуноглобулина</w:t>
      </w:r>
      <w:r w:rsidR="00FD7206" w:rsidRPr="00F570B0">
        <w:rPr>
          <w:sz w:val="28"/>
          <w:szCs w:val="28"/>
        </w:rPr>
        <w:t xml:space="preserve"> </w:t>
      </w:r>
      <w:r w:rsidR="00FD7206">
        <w:rPr>
          <w:sz w:val="28"/>
          <w:szCs w:val="28"/>
        </w:rPr>
        <w:t>человека противооспенного</w:t>
      </w:r>
      <w:r w:rsidR="00A431CE">
        <w:rPr>
          <w:sz w:val="28"/>
          <w:szCs w:val="28"/>
        </w:rPr>
        <w:t xml:space="preserve"> </w:t>
      </w:r>
      <w:r>
        <w:rPr>
          <w:sz w:val="28"/>
          <w:szCs w:val="28"/>
        </w:rPr>
        <w:t>идентична производству</w:t>
      </w:r>
      <w:r w:rsidRPr="00DB0807">
        <w:rPr>
          <w:b/>
          <w:sz w:val="28"/>
          <w:szCs w:val="28"/>
        </w:rPr>
        <w:t xml:space="preserve"> </w:t>
      </w:r>
      <w:r w:rsidRPr="00DB0807">
        <w:rPr>
          <w:sz w:val="28"/>
          <w:szCs w:val="28"/>
        </w:rPr>
        <w:t>иммуноглобулин</w:t>
      </w:r>
      <w:r>
        <w:rPr>
          <w:sz w:val="28"/>
          <w:szCs w:val="28"/>
        </w:rPr>
        <w:t xml:space="preserve">а </w:t>
      </w:r>
      <w:r w:rsidR="0080269A">
        <w:rPr>
          <w:sz w:val="28"/>
          <w:szCs w:val="28"/>
        </w:rPr>
        <w:t xml:space="preserve">человека: </w:t>
      </w:r>
      <w:r>
        <w:rPr>
          <w:sz w:val="28"/>
          <w:szCs w:val="28"/>
        </w:rPr>
        <w:t>модифицированным</w:t>
      </w:r>
      <w:r w:rsidRPr="00DB0807">
        <w:rPr>
          <w:sz w:val="28"/>
          <w:szCs w:val="28"/>
        </w:rPr>
        <w:t xml:space="preserve"> методом фракционирования по Кону</w:t>
      </w:r>
      <w:r w:rsidR="00A431CE">
        <w:rPr>
          <w:sz w:val="28"/>
          <w:szCs w:val="28"/>
        </w:rPr>
        <w:t xml:space="preserve">. </w:t>
      </w:r>
      <w:r w:rsidR="00DE7BA1" w:rsidRPr="00A85A4D">
        <w:rPr>
          <w:sz w:val="28"/>
          <w:szCs w:val="28"/>
        </w:rPr>
        <w:t xml:space="preserve">Метод основан на физико-химических отличиях белков и их различной растворимости в присутствии этанола при низких температурах, различной ионной силе, диэлектрической постоянной и рН среды с использованием дополнительных методов хроматографической очистки и улучшенной технологии </w:t>
      </w:r>
      <w:r w:rsidR="00DE7BA1" w:rsidRPr="00A85A4D">
        <w:rPr>
          <w:sz w:val="28"/>
          <w:szCs w:val="28"/>
        </w:rPr>
        <w:lastRenderedPageBreak/>
        <w:t xml:space="preserve">инактивации вирусов, гарантирующих вирусную безопасность лекарственного средства. </w:t>
      </w:r>
    </w:p>
    <w:p w:rsidR="00CA5F63" w:rsidRPr="00A85A4D" w:rsidRDefault="00F132C1" w:rsidP="00365279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1249F3">
        <w:rPr>
          <w:sz w:val="28"/>
          <w:szCs w:val="28"/>
        </w:rPr>
        <w:t xml:space="preserve">Выбор доноров, </w:t>
      </w:r>
      <w:r w:rsidR="00FA0717" w:rsidRPr="001249F3">
        <w:rPr>
          <w:sz w:val="28"/>
          <w:szCs w:val="28"/>
        </w:rPr>
        <w:t>процессов производства и контроля</w:t>
      </w:r>
      <w:r w:rsidRPr="001249F3">
        <w:rPr>
          <w:sz w:val="28"/>
          <w:szCs w:val="28"/>
        </w:rPr>
        <w:t xml:space="preserve"> на производстве иммуноглобулина противооспенного должны соответствовать требованиям ОФС «Иммуноглобулины человека».</w:t>
      </w:r>
      <w:r w:rsidR="002818AD" w:rsidRPr="001249F3">
        <w:rPr>
          <w:sz w:val="28"/>
          <w:szCs w:val="28"/>
        </w:rPr>
        <w:t xml:space="preserve"> При инактивации вирусов химическими и фотохимическими методами </w:t>
      </w:r>
      <w:r w:rsidR="00FA0717" w:rsidRPr="001249F3">
        <w:rPr>
          <w:sz w:val="28"/>
          <w:szCs w:val="28"/>
        </w:rPr>
        <w:t>в нормативной документации производителя</w:t>
      </w:r>
      <w:r w:rsidR="00FA0717" w:rsidRPr="001249F3">
        <w:rPr>
          <w:strike/>
          <w:sz w:val="28"/>
          <w:szCs w:val="28"/>
        </w:rPr>
        <w:t xml:space="preserve"> </w:t>
      </w:r>
      <w:r w:rsidR="00A431CE" w:rsidRPr="001249F3">
        <w:rPr>
          <w:sz w:val="28"/>
          <w:szCs w:val="28"/>
        </w:rPr>
        <w:t xml:space="preserve">необходимо </w:t>
      </w:r>
      <w:r w:rsidR="002818AD" w:rsidRPr="001249F3">
        <w:rPr>
          <w:sz w:val="28"/>
          <w:szCs w:val="28"/>
        </w:rPr>
        <w:t>указать допустимую норму и метод определения данных веществ в готовом препарате</w:t>
      </w:r>
      <w:r w:rsidR="00DE7BA1" w:rsidRPr="001249F3">
        <w:rPr>
          <w:sz w:val="28"/>
          <w:szCs w:val="28"/>
        </w:rPr>
        <w:t>.</w:t>
      </w:r>
    </w:p>
    <w:p w:rsidR="00CA5F63" w:rsidRPr="001721FE" w:rsidRDefault="00CA5F63" w:rsidP="001721F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85A4D">
        <w:rPr>
          <w:sz w:val="28"/>
          <w:szCs w:val="28"/>
        </w:rPr>
        <w:t xml:space="preserve">Все процессы производства иммуноглобулина человека противооспенного должны быть валидированы. </w:t>
      </w:r>
      <w:r w:rsidRPr="00A85A4D">
        <w:rPr>
          <w:rFonts w:eastAsia="Calibri"/>
          <w:sz w:val="28"/>
          <w:szCs w:val="28"/>
        </w:rPr>
        <w:t xml:space="preserve">Производство иммуноглобулина человека </w:t>
      </w:r>
      <w:r w:rsidRPr="00A85A4D">
        <w:rPr>
          <w:sz w:val="28"/>
          <w:szCs w:val="28"/>
        </w:rPr>
        <w:t>противооспенного</w:t>
      </w:r>
      <w:r w:rsidRPr="00A85A4D">
        <w:rPr>
          <w:rFonts w:eastAsia="Calibri"/>
          <w:sz w:val="28"/>
          <w:szCs w:val="28"/>
        </w:rPr>
        <w:t xml:space="preserve"> должно соответствовать правилам GMP, гарантирующим сохранение структуры и функции белков иммуноглобулина, обеспечивающих специфическую и вирусную безопасность препарата, исключающих контаминацию чужеродными агентами и включающих стадии, обеспечивающие инактивацию и элиминацию  инфекционны</w:t>
      </w:r>
      <w:r w:rsidR="00DE7BA1" w:rsidRPr="00A85A4D">
        <w:rPr>
          <w:rFonts w:eastAsia="Calibri"/>
          <w:sz w:val="28"/>
          <w:szCs w:val="28"/>
        </w:rPr>
        <w:t>х агентов. П</w:t>
      </w:r>
      <w:r w:rsidRPr="00A85A4D">
        <w:rPr>
          <w:rFonts w:eastAsia="Calibri"/>
          <w:sz w:val="28"/>
          <w:szCs w:val="28"/>
        </w:rPr>
        <w:t xml:space="preserve">ротивовирусная эффективность препаратов </w:t>
      </w:r>
      <w:r w:rsidRPr="00A85A4D">
        <w:rPr>
          <w:sz w:val="28"/>
          <w:szCs w:val="28"/>
        </w:rPr>
        <w:t>иммуноглобулина человека противооспенного</w:t>
      </w:r>
      <w:r w:rsidRPr="00A85A4D">
        <w:rPr>
          <w:rFonts w:eastAsia="Calibri"/>
          <w:sz w:val="28"/>
          <w:szCs w:val="28"/>
        </w:rPr>
        <w:t xml:space="preserve"> должна быть обеспечена соответствующей степенью концентрации антител в процессе производства (не менее, чем в 6 раз при содержании белка в препарате 9,0 – 16,0 %).</w:t>
      </w:r>
    </w:p>
    <w:p w:rsidR="003F40BD" w:rsidRPr="00A85A4D" w:rsidRDefault="00CA5F63" w:rsidP="00365279">
      <w:pPr>
        <w:tabs>
          <w:tab w:val="left" w:pos="2410"/>
        </w:tabs>
        <w:spacing w:line="360" w:lineRule="auto"/>
        <w:ind w:firstLine="709"/>
        <w:jc w:val="both"/>
        <w:rPr>
          <w:sz w:val="28"/>
          <w:szCs w:val="28"/>
        </w:rPr>
      </w:pPr>
      <w:r w:rsidRPr="00A85A4D">
        <w:rPr>
          <w:sz w:val="28"/>
          <w:szCs w:val="28"/>
        </w:rPr>
        <w:t xml:space="preserve">                                     ИСПЫТАНИЯ</w:t>
      </w:r>
    </w:p>
    <w:p w:rsidR="003F40BD" w:rsidRPr="00A85A4D" w:rsidRDefault="00CA5F63" w:rsidP="00365279">
      <w:pPr>
        <w:tabs>
          <w:tab w:val="left" w:pos="2410"/>
        </w:tabs>
        <w:spacing w:line="360" w:lineRule="auto"/>
        <w:ind w:firstLine="709"/>
        <w:jc w:val="both"/>
        <w:rPr>
          <w:sz w:val="28"/>
          <w:szCs w:val="28"/>
        </w:rPr>
      </w:pPr>
      <w:r w:rsidRPr="00A85A4D">
        <w:rPr>
          <w:b/>
          <w:sz w:val="28"/>
          <w:szCs w:val="28"/>
        </w:rPr>
        <w:t>Описание.</w:t>
      </w:r>
      <w:r w:rsidR="00614C75" w:rsidRPr="00A85A4D">
        <w:rPr>
          <w:sz w:val="28"/>
          <w:szCs w:val="28"/>
        </w:rPr>
        <w:t xml:space="preserve"> Прозрачный или слегка </w:t>
      </w:r>
      <w:r w:rsidRPr="00A85A4D">
        <w:rPr>
          <w:sz w:val="28"/>
          <w:szCs w:val="28"/>
        </w:rPr>
        <w:t>опалесцирующий раствор, бесцветный или со слабо желтой окраской.</w:t>
      </w:r>
      <w:r w:rsidR="00A431CE">
        <w:rPr>
          <w:sz w:val="28"/>
          <w:szCs w:val="28"/>
        </w:rPr>
        <w:t xml:space="preserve"> В процессе хранения допускается </w:t>
      </w:r>
      <w:r w:rsidR="000D5C0E" w:rsidRPr="00A85A4D">
        <w:rPr>
          <w:sz w:val="28"/>
          <w:szCs w:val="28"/>
        </w:rPr>
        <w:t>появления незначительного осадка, исчезающего при легком встряхивании.</w:t>
      </w:r>
      <w:r w:rsidR="00A431CE">
        <w:rPr>
          <w:sz w:val="28"/>
          <w:szCs w:val="28"/>
        </w:rPr>
        <w:t xml:space="preserve"> Определение проводят </w:t>
      </w:r>
      <w:r w:rsidRPr="00A85A4D">
        <w:rPr>
          <w:sz w:val="28"/>
          <w:szCs w:val="28"/>
        </w:rPr>
        <w:t>визуально.</w:t>
      </w:r>
    </w:p>
    <w:p w:rsidR="006C4F41" w:rsidRDefault="00CA5F63" w:rsidP="00365279">
      <w:pPr>
        <w:spacing w:line="360" w:lineRule="auto"/>
        <w:ind w:firstLine="709"/>
        <w:jc w:val="both"/>
        <w:rPr>
          <w:sz w:val="28"/>
          <w:szCs w:val="28"/>
        </w:rPr>
      </w:pPr>
      <w:r w:rsidRPr="00A85A4D">
        <w:rPr>
          <w:b/>
          <w:sz w:val="28"/>
          <w:szCs w:val="28"/>
        </w:rPr>
        <w:t>Подлинность</w:t>
      </w:r>
      <w:r w:rsidRPr="00A85A4D">
        <w:rPr>
          <w:sz w:val="28"/>
          <w:szCs w:val="28"/>
        </w:rPr>
        <w:t xml:space="preserve">. </w:t>
      </w:r>
      <w:r w:rsidR="006C4F41">
        <w:rPr>
          <w:sz w:val="28"/>
          <w:szCs w:val="28"/>
        </w:rPr>
        <w:t>Испытание проводят с использованием двух методик.</w:t>
      </w:r>
    </w:p>
    <w:p w:rsidR="00CA5F63" w:rsidRPr="00E570C2" w:rsidRDefault="00E570C2" w:rsidP="00365279">
      <w:pPr>
        <w:spacing w:line="360" w:lineRule="auto"/>
        <w:ind w:firstLine="709"/>
        <w:jc w:val="both"/>
        <w:rPr>
          <w:sz w:val="28"/>
          <w:szCs w:val="28"/>
        </w:rPr>
      </w:pPr>
      <w:r w:rsidRPr="006D13AC">
        <w:rPr>
          <w:sz w:val="28"/>
          <w:szCs w:val="28"/>
        </w:rPr>
        <w:t>1. </w:t>
      </w:r>
      <w:r w:rsidR="006C4F41" w:rsidRPr="006D13AC">
        <w:rPr>
          <w:sz w:val="28"/>
          <w:szCs w:val="28"/>
        </w:rPr>
        <w:t>Видоспецифичность.</w:t>
      </w:r>
      <w:r w:rsidR="00A431CE">
        <w:rPr>
          <w:sz w:val="28"/>
          <w:szCs w:val="28"/>
        </w:rPr>
        <w:t xml:space="preserve"> </w:t>
      </w:r>
      <w:r w:rsidR="006C4F41" w:rsidRPr="00E570C2">
        <w:rPr>
          <w:sz w:val="28"/>
          <w:szCs w:val="28"/>
        </w:rPr>
        <w:t xml:space="preserve">Должен обладать видовой специфичностью, </w:t>
      </w:r>
      <w:r w:rsidR="001721FE">
        <w:rPr>
          <w:sz w:val="28"/>
          <w:szCs w:val="28"/>
        </w:rPr>
        <w:t>свойственной только</w:t>
      </w:r>
      <w:r w:rsidR="006C4F41" w:rsidRPr="00E570C2">
        <w:rPr>
          <w:sz w:val="28"/>
          <w:szCs w:val="28"/>
        </w:rPr>
        <w:t xml:space="preserve"> белкам</w:t>
      </w:r>
      <w:r w:rsidR="00CA5F63" w:rsidRPr="00E570C2">
        <w:rPr>
          <w:sz w:val="28"/>
          <w:szCs w:val="28"/>
        </w:rPr>
        <w:t xml:space="preserve"> </w:t>
      </w:r>
      <w:r w:rsidR="00863F34" w:rsidRPr="00E570C2">
        <w:rPr>
          <w:sz w:val="28"/>
          <w:szCs w:val="28"/>
        </w:rPr>
        <w:t xml:space="preserve">сыворотки  </w:t>
      </w:r>
      <w:r w:rsidR="00CA5F63" w:rsidRPr="00E570C2">
        <w:rPr>
          <w:sz w:val="28"/>
          <w:szCs w:val="28"/>
        </w:rPr>
        <w:t>крови человека с использованием метода иммуноэлектрофор</w:t>
      </w:r>
      <w:r w:rsidR="00AC5D49" w:rsidRPr="00E570C2">
        <w:rPr>
          <w:sz w:val="28"/>
          <w:szCs w:val="28"/>
        </w:rPr>
        <w:t>еза</w:t>
      </w:r>
      <w:r w:rsidR="009D61F3">
        <w:rPr>
          <w:sz w:val="28"/>
          <w:szCs w:val="28"/>
        </w:rPr>
        <w:t xml:space="preserve"> в геле, указанным </w:t>
      </w:r>
      <w:r w:rsidR="009D61F3" w:rsidRPr="00FC1179">
        <w:rPr>
          <w:sz w:val="28"/>
          <w:szCs w:val="28"/>
        </w:rPr>
        <w:t xml:space="preserve">в нормативной </w:t>
      </w:r>
      <w:r w:rsidR="009D61F3" w:rsidRPr="00FC1179">
        <w:rPr>
          <w:sz w:val="28"/>
          <w:szCs w:val="28"/>
        </w:rPr>
        <w:lastRenderedPageBreak/>
        <w:t>документации производителя</w:t>
      </w:r>
      <w:r w:rsidR="00FC1179">
        <w:rPr>
          <w:sz w:val="28"/>
          <w:szCs w:val="28"/>
        </w:rPr>
        <w:t xml:space="preserve"> </w:t>
      </w:r>
      <w:r w:rsidR="00CA5F63" w:rsidRPr="00E570C2">
        <w:rPr>
          <w:sz w:val="28"/>
          <w:szCs w:val="28"/>
        </w:rPr>
        <w:t>с использованием сыворотки для иммуноэлектрофореза против сывороточных белков крови человека, крупного рогатого скота, лошади и свиньи. В результате анализа, должны выявляться дуги преципитации только с сывороткой против сывороточных белков крови человека.</w:t>
      </w:r>
    </w:p>
    <w:p w:rsidR="003F40BD" w:rsidRPr="00E570C2" w:rsidRDefault="00E570C2" w:rsidP="00365279">
      <w:pPr>
        <w:spacing w:line="360" w:lineRule="auto"/>
        <w:ind w:firstLine="709"/>
        <w:jc w:val="both"/>
        <w:rPr>
          <w:sz w:val="28"/>
          <w:szCs w:val="28"/>
        </w:rPr>
      </w:pPr>
      <w:r w:rsidRPr="006D13AC">
        <w:rPr>
          <w:sz w:val="28"/>
          <w:szCs w:val="28"/>
        </w:rPr>
        <w:t>2. </w:t>
      </w:r>
      <w:r w:rsidR="00863F34" w:rsidRPr="006D13AC">
        <w:rPr>
          <w:sz w:val="28"/>
          <w:szCs w:val="28"/>
        </w:rPr>
        <w:t>Специфичность антител.</w:t>
      </w:r>
      <w:r w:rsidR="00863F34" w:rsidRPr="00E570C2">
        <w:rPr>
          <w:sz w:val="28"/>
          <w:szCs w:val="28"/>
        </w:rPr>
        <w:t xml:space="preserve"> Д</w:t>
      </w:r>
      <w:r w:rsidR="00CA5F63" w:rsidRPr="00E570C2">
        <w:rPr>
          <w:sz w:val="28"/>
          <w:szCs w:val="28"/>
        </w:rPr>
        <w:t>олже</w:t>
      </w:r>
      <w:r w:rsidR="00863F34" w:rsidRPr="00E570C2">
        <w:rPr>
          <w:sz w:val="28"/>
          <w:szCs w:val="28"/>
        </w:rPr>
        <w:t>н содержать антитела к ортопокс</w:t>
      </w:r>
      <w:r w:rsidR="00CA5F63" w:rsidRPr="00E570C2">
        <w:rPr>
          <w:sz w:val="28"/>
          <w:szCs w:val="28"/>
        </w:rPr>
        <w:t>вирусам. Определение пров</w:t>
      </w:r>
      <w:r w:rsidR="00863F34" w:rsidRPr="00E570C2">
        <w:rPr>
          <w:sz w:val="28"/>
          <w:szCs w:val="28"/>
        </w:rPr>
        <w:t xml:space="preserve">одят в реакции нейтрализации по </w:t>
      </w:r>
      <w:r w:rsidR="00CA5F63" w:rsidRPr="00E570C2">
        <w:rPr>
          <w:sz w:val="28"/>
          <w:szCs w:val="28"/>
        </w:rPr>
        <w:t>раздел</w:t>
      </w:r>
      <w:r w:rsidR="00863F34" w:rsidRPr="00E570C2">
        <w:rPr>
          <w:sz w:val="28"/>
          <w:szCs w:val="28"/>
        </w:rPr>
        <w:t>у «Специфическая активность»</w:t>
      </w:r>
      <w:r w:rsidR="00CA5F63" w:rsidRPr="00E570C2">
        <w:rPr>
          <w:sz w:val="28"/>
          <w:szCs w:val="28"/>
        </w:rPr>
        <w:t>.</w:t>
      </w:r>
    </w:p>
    <w:p w:rsidR="00CA5F63" w:rsidRPr="003F40BD" w:rsidRDefault="00CA5F63" w:rsidP="00365279">
      <w:pPr>
        <w:spacing w:line="360" w:lineRule="auto"/>
        <w:ind w:firstLine="709"/>
        <w:jc w:val="both"/>
        <w:rPr>
          <w:sz w:val="28"/>
          <w:szCs w:val="28"/>
        </w:rPr>
      </w:pPr>
      <w:r w:rsidRPr="00C5590E">
        <w:rPr>
          <w:b/>
          <w:sz w:val="28"/>
          <w:szCs w:val="28"/>
        </w:rPr>
        <w:t>Извлекаемый объем</w:t>
      </w:r>
      <w:r>
        <w:rPr>
          <w:sz w:val="28"/>
          <w:szCs w:val="28"/>
        </w:rPr>
        <w:t>.</w:t>
      </w:r>
      <w:r w:rsidRPr="00CE3C85">
        <w:rPr>
          <w:sz w:val="28"/>
          <w:szCs w:val="28"/>
        </w:rPr>
        <w:t xml:space="preserve"> </w:t>
      </w:r>
      <w:r w:rsidRPr="0025736B">
        <w:rPr>
          <w:sz w:val="28"/>
          <w:szCs w:val="28"/>
        </w:rPr>
        <w:t xml:space="preserve">Извлекаемый </w:t>
      </w:r>
      <w:r w:rsidR="001721FE">
        <w:rPr>
          <w:sz w:val="28"/>
          <w:szCs w:val="28"/>
        </w:rPr>
        <w:t xml:space="preserve">объём </w:t>
      </w:r>
      <w:r w:rsidRPr="0025736B">
        <w:rPr>
          <w:sz w:val="28"/>
          <w:szCs w:val="28"/>
        </w:rPr>
        <w:t>должен</w:t>
      </w:r>
      <w:r w:rsidR="001721FE">
        <w:rPr>
          <w:sz w:val="28"/>
          <w:szCs w:val="28"/>
        </w:rPr>
        <w:t xml:space="preserve"> быть не менее номинального. </w:t>
      </w:r>
      <w:r>
        <w:rPr>
          <w:sz w:val="28"/>
          <w:szCs w:val="28"/>
        </w:rPr>
        <w:t>Определение проводят в соответствии с ОФС «</w:t>
      </w:r>
      <w:r>
        <w:rPr>
          <w:spacing w:val="-1"/>
          <w:sz w:val="28"/>
          <w:szCs w:val="28"/>
        </w:rPr>
        <w:t xml:space="preserve">Извлекаемый объём лекарственных форм для парентерального </w:t>
      </w:r>
      <w:r>
        <w:rPr>
          <w:spacing w:val="-4"/>
          <w:sz w:val="28"/>
          <w:szCs w:val="28"/>
        </w:rPr>
        <w:t>применения» .</w:t>
      </w:r>
    </w:p>
    <w:p w:rsidR="005D57DA" w:rsidRPr="005D57DA" w:rsidRDefault="00CA5F63" w:rsidP="005D57DA">
      <w:pPr>
        <w:spacing w:line="360" w:lineRule="auto"/>
        <w:ind w:firstLine="709"/>
        <w:jc w:val="both"/>
        <w:rPr>
          <w:sz w:val="28"/>
          <w:szCs w:val="28"/>
        </w:rPr>
      </w:pPr>
      <w:r w:rsidRPr="00804C3C">
        <w:rPr>
          <w:b/>
          <w:sz w:val="28"/>
          <w:szCs w:val="28"/>
        </w:rPr>
        <w:t>Цветность.</w:t>
      </w:r>
      <w:r w:rsidR="00F97D4F">
        <w:rPr>
          <w:b/>
          <w:sz w:val="28"/>
          <w:szCs w:val="28"/>
        </w:rPr>
        <w:t xml:space="preserve"> </w:t>
      </w:r>
      <w:r w:rsidR="005D57DA" w:rsidRPr="000E0E70">
        <w:rPr>
          <w:sz w:val="28"/>
          <w:szCs w:val="28"/>
        </w:rPr>
        <w:t>Бесцветный или со светло-желтой окраской раствор (если нет других указаний в нормативной документации). Определение проводят в соответствии с ОФС «Степень окраски жидкостей».</w:t>
      </w:r>
    </w:p>
    <w:p w:rsidR="005D57DA" w:rsidRDefault="00CA5F63" w:rsidP="005D57DA">
      <w:pPr>
        <w:spacing w:line="360" w:lineRule="auto"/>
        <w:ind w:firstLine="709"/>
        <w:jc w:val="both"/>
        <w:rPr>
          <w:sz w:val="28"/>
          <w:szCs w:val="28"/>
        </w:rPr>
      </w:pPr>
      <w:r w:rsidRPr="005F77A6">
        <w:rPr>
          <w:b/>
          <w:sz w:val="28"/>
          <w:szCs w:val="28"/>
        </w:rPr>
        <w:t>Прозрачность.</w:t>
      </w:r>
      <w:r>
        <w:rPr>
          <w:sz w:val="28"/>
          <w:szCs w:val="28"/>
        </w:rPr>
        <w:t xml:space="preserve"> </w:t>
      </w:r>
      <w:r w:rsidR="005D57DA" w:rsidRPr="000E0E70">
        <w:rPr>
          <w:sz w:val="28"/>
          <w:szCs w:val="28"/>
        </w:rPr>
        <w:t xml:space="preserve">Прозрачный или слегка </w:t>
      </w:r>
      <w:proofErr w:type="spellStart"/>
      <w:r w:rsidR="005D57DA" w:rsidRPr="000E0E70">
        <w:rPr>
          <w:sz w:val="28"/>
          <w:szCs w:val="28"/>
        </w:rPr>
        <w:t>опалесцирующий</w:t>
      </w:r>
      <w:proofErr w:type="spellEnd"/>
      <w:r w:rsidR="005D57DA" w:rsidRPr="000E0E70">
        <w:rPr>
          <w:sz w:val="28"/>
          <w:szCs w:val="28"/>
        </w:rPr>
        <w:t xml:space="preserve"> раствор (если нет других указаний в нормативной документации). Определение проводят в соответствии с ОФС «Прозрачности и степень мутности жидкостей».</w:t>
      </w:r>
      <w:r w:rsidR="005D57DA" w:rsidRPr="00632853">
        <w:rPr>
          <w:sz w:val="28"/>
          <w:szCs w:val="28"/>
        </w:rPr>
        <w:t xml:space="preserve"> </w:t>
      </w:r>
    </w:p>
    <w:p w:rsidR="003F40BD" w:rsidRDefault="00CA5F63" w:rsidP="00365279">
      <w:pPr>
        <w:spacing w:line="360" w:lineRule="auto"/>
        <w:ind w:firstLine="709"/>
        <w:jc w:val="both"/>
        <w:rPr>
          <w:sz w:val="28"/>
          <w:szCs w:val="28"/>
        </w:rPr>
      </w:pPr>
      <w:r w:rsidRPr="00C5590E">
        <w:rPr>
          <w:b/>
          <w:sz w:val="28"/>
          <w:szCs w:val="28"/>
        </w:rPr>
        <w:t>Механические включения</w:t>
      </w:r>
      <w:r>
        <w:rPr>
          <w:sz w:val="28"/>
          <w:szCs w:val="28"/>
        </w:rPr>
        <w:t>.</w:t>
      </w:r>
      <w:r w:rsidR="00A431CE">
        <w:rPr>
          <w:sz w:val="28"/>
          <w:szCs w:val="28"/>
        </w:rPr>
        <w:t xml:space="preserve"> </w:t>
      </w:r>
      <w:r w:rsidR="00D64055">
        <w:rPr>
          <w:sz w:val="28"/>
          <w:szCs w:val="28"/>
        </w:rPr>
        <w:t xml:space="preserve">Видимые механические включения должны отсутствовать. Определение проводят в соответствии с </w:t>
      </w:r>
      <w:r w:rsidR="009F4EDE">
        <w:rPr>
          <w:sz w:val="28"/>
          <w:szCs w:val="28"/>
        </w:rPr>
        <w:t>ОФС «Видимые механические включения в лекарств</w:t>
      </w:r>
      <w:r w:rsidR="00FE191E">
        <w:rPr>
          <w:sz w:val="28"/>
          <w:szCs w:val="28"/>
        </w:rPr>
        <w:t xml:space="preserve">енных формах </w:t>
      </w:r>
      <w:r w:rsidR="009F4EDE">
        <w:rPr>
          <w:sz w:val="28"/>
          <w:szCs w:val="28"/>
        </w:rPr>
        <w:t>для парентерального применени</w:t>
      </w:r>
      <w:r w:rsidR="00FE191E">
        <w:rPr>
          <w:sz w:val="28"/>
          <w:szCs w:val="28"/>
        </w:rPr>
        <w:t>я и глазных лекарственных формах»</w:t>
      </w:r>
      <w:r w:rsidR="00D64055">
        <w:rPr>
          <w:sz w:val="28"/>
          <w:szCs w:val="28"/>
        </w:rPr>
        <w:t>.</w:t>
      </w:r>
    </w:p>
    <w:p w:rsidR="003F40BD" w:rsidRPr="003F40BD" w:rsidRDefault="00CA5F63" w:rsidP="003652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рН. </w:t>
      </w:r>
      <w:r w:rsidRPr="006004C9">
        <w:rPr>
          <w:sz w:val="28"/>
          <w:szCs w:val="28"/>
        </w:rPr>
        <w:t>От</w:t>
      </w:r>
      <w:r w:rsidR="00A431CE">
        <w:rPr>
          <w:sz w:val="28"/>
          <w:szCs w:val="28"/>
        </w:rPr>
        <w:t xml:space="preserve"> </w:t>
      </w:r>
      <w:r w:rsidR="001721FE">
        <w:rPr>
          <w:sz w:val="28"/>
          <w:szCs w:val="28"/>
        </w:rPr>
        <w:t xml:space="preserve">6,6 до 7,4. </w:t>
      </w:r>
      <w:r>
        <w:rPr>
          <w:sz w:val="28"/>
          <w:szCs w:val="28"/>
        </w:rPr>
        <w:t>Испытуемый образец разводят до 1% концентрации 0,9 % раствором натрия хлорида. Испытание проводят потенциометрическим методом в соответствии с ОФС «Ионометрия».</w:t>
      </w:r>
      <w:r>
        <w:rPr>
          <w:rFonts w:eastAsia="Calibri"/>
          <w:sz w:val="28"/>
          <w:szCs w:val="28"/>
        </w:rPr>
        <w:t xml:space="preserve"> </w:t>
      </w:r>
    </w:p>
    <w:p w:rsidR="003F40BD" w:rsidRPr="003F40BD" w:rsidRDefault="00CA5F63" w:rsidP="0036527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5590E">
        <w:rPr>
          <w:b/>
          <w:sz w:val="28"/>
          <w:szCs w:val="28"/>
        </w:rPr>
        <w:t>Белок.</w:t>
      </w:r>
      <w:r>
        <w:rPr>
          <w:sz w:val="28"/>
          <w:szCs w:val="28"/>
        </w:rPr>
        <w:t xml:space="preserve"> От 9,0 до 16,0 %.</w:t>
      </w:r>
      <w:r w:rsidRPr="00E94C56">
        <w:rPr>
          <w:sz w:val="28"/>
          <w:szCs w:val="28"/>
        </w:rPr>
        <w:t xml:space="preserve"> </w:t>
      </w:r>
      <w:r w:rsidR="001721FE">
        <w:rPr>
          <w:sz w:val="28"/>
          <w:szCs w:val="28"/>
        </w:rPr>
        <w:t xml:space="preserve">Определение </w:t>
      </w:r>
      <w:r w:rsidRPr="008577E7">
        <w:rPr>
          <w:sz w:val="28"/>
          <w:szCs w:val="28"/>
        </w:rPr>
        <w:t xml:space="preserve">проводят колориметрическим методом </w:t>
      </w:r>
      <w:r w:rsidRPr="008577E7">
        <w:rPr>
          <w:sz w:val="28"/>
          <w:szCs w:val="28"/>
          <w:lang w:val="en-US"/>
        </w:rPr>
        <w:t>c</w:t>
      </w:r>
      <w:r w:rsidRPr="008577E7">
        <w:rPr>
          <w:sz w:val="28"/>
          <w:szCs w:val="28"/>
        </w:rPr>
        <w:t xml:space="preserve"> биуретовым реактивом</w:t>
      </w:r>
      <w:r>
        <w:rPr>
          <w:sz w:val="28"/>
          <w:szCs w:val="28"/>
        </w:rPr>
        <w:t xml:space="preserve"> в соответствии с ОФС «Определение белка». </w:t>
      </w:r>
    </w:p>
    <w:p w:rsidR="003F40BD" w:rsidRDefault="00CA5F63" w:rsidP="00365279">
      <w:pPr>
        <w:spacing w:line="360" w:lineRule="auto"/>
        <w:ind w:firstLine="709"/>
        <w:jc w:val="both"/>
        <w:rPr>
          <w:sz w:val="28"/>
          <w:szCs w:val="28"/>
        </w:rPr>
      </w:pPr>
      <w:r w:rsidRPr="00C5590E">
        <w:rPr>
          <w:b/>
          <w:sz w:val="28"/>
          <w:szCs w:val="28"/>
        </w:rPr>
        <w:t>Электрофоретическая однородность.</w:t>
      </w:r>
      <w:r w:rsidRPr="008577E7">
        <w:rPr>
          <w:sz w:val="28"/>
          <w:szCs w:val="28"/>
        </w:rPr>
        <w:t xml:space="preserve"> </w:t>
      </w:r>
      <w:r>
        <w:rPr>
          <w:sz w:val="28"/>
          <w:szCs w:val="28"/>
        </w:rPr>
        <w:t>Фракция иммуноглобулинов должна составлять н</w:t>
      </w:r>
      <w:r w:rsidR="00A431CE">
        <w:rPr>
          <w:sz w:val="28"/>
          <w:szCs w:val="28"/>
        </w:rPr>
        <w:t xml:space="preserve">е менее 97 % от общего белка. </w:t>
      </w:r>
      <w:r>
        <w:rPr>
          <w:sz w:val="28"/>
          <w:szCs w:val="28"/>
        </w:rPr>
        <w:t xml:space="preserve">Испытание проводят в </w:t>
      </w:r>
      <w:r>
        <w:rPr>
          <w:sz w:val="28"/>
          <w:szCs w:val="28"/>
        </w:rPr>
        <w:lastRenderedPageBreak/>
        <w:t xml:space="preserve">соответствии с ОФС «Определение однородности сывороточных препаратов методом электрофореза на пленках из ацетата целлюлозы». </w:t>
      </w:r>
    </w:p>
    <w:p w:rsidR="009947F5" w:rsidRPr="003F40BD" w:rsidRDefault="00CA5F63" w:rsidP="00365279">
      <w:pPr>
        <w:spacing w:line="360" w:lineRule="auto"/>
        <w:ind w:firstLine="709"/>
        <w:jc w:val="both"/>
        <w:rPr>
          <w:sz w:val="28"/>
          <w:szCs w:val="28"/>
        </w:rPr>
      </w:pPr>
      <w:r w:rsidRPr="005B5780">
        <w:rPr>
          <w:b/>
          <w:sz w:val="28"/>
          <w:szCs w:val="28"/>
        </w:rPr>
        <w:t xml:space="preserve">Молекулярные </w:t>
      </w:r>
      <w:r>
        <w:rPr>
          <w:b/>
          <w:sz w:val="28"/>
          <w:szCs w:val="28"/>
        </w:rPr>
        <w:t>параметры.</w:t>
      </w:r>
      <w:r>
        <w:rPr>
          <w:sz w:val="28"/>
          <w:szCs w:val="28"/>
        </w:rPr>
        <w:t xml:space="preserve"> Испытание проводят в соответствии с </w:t>
      </w:r>
      <w:r w:rsidR="005C3780">
        <w:rPr>
          <w:sz w:val="28"/>
          <w:szCs w:val="28"/>
        </w:rPr>
        <w:t>ОФ</w:t>
      </w:r>
      <w:r w:rsidR="00CF2FA8">
        <w:rPr>
          <w:sz w:val="28"/>
          <w:szCs w:val="28"/>
        </w:rPr>
        <w:t xml:space="preserve">С </w:t>
      </w:r>
      <w:r>
        <w:rPr>
          <w:sz w:val="28"/>
          <w:szCs w:val="28"/>
        </w:rPr>
        <w:t>«</w:t>
      </w:r>
      <w:r w:rsidRPr="005B5780">
        <w:rPr>
          <w:sz w:val="28"/>
          <w:szCs w:val="28"/>
        </w:rPr>
        <w:t>Определение молекулярных параметров и</w:t>
      </w:r>
      <w:r w:rsidR="00405BF5">
        <w:rPr>
          <w:sz w:val="28"/>
          <w:szCs w:val="28"/>
        </w:rPr>
        <w:t>ммуноглобулинов методом В</w:t>
      </w:r>
      <w:r w:rsidRPr="005B5780">
        <w:rPr>
          <w:sz w:val="28"/>
          <w:szCs w:val="28"/>
        </w:rPr>
        <w:t>Ж</w:t>
      </w:r>
      <w:r w:rsidR="00405BF5">
        <w:rPr>
          <w:sz w:val="28"/>
          <w:szCs w:val="28"/>
        </w:rPr>
        <w:t>Э</w:t>
      </w:r>
      <w:r w:rsidRPr="005B5780">
        <w:rPr>
          <w:sz w:val="28"/>
          <w:szCs w:val="28"/>
        </w:rPr>
        <w:t>Х</w:t>
      </w:r>
      <w:r w:rsidR="00501F45">
        <w:rPr>
          <w:sz w:val="28"/>
          <w:szCs w:val="28"/>
        </w:rPr>
        <w:t xml:space="preserve">», </w:t>
      </w:r>
      <w:r w:rsidR="00BD4544" w:rsidRPr="00CA19ED">
        <w:rPr>
          <w:sz w:val="28"/>
          <w:szCs w:val="28"/>
        </w:rPr>
        <w:t xml:space="preserve">если нет других указаний </w:t>
      </w:r>
      <w:r w:rsidR="006D13AC" w:rsidRPr="00CA19ED">
        <w:rPr>
          <w:sz w:val="28"/>
          <w:szCs w:val="28"/>
        </w:rPr>
        <w:t>в нормативной документации производителя.</w:t>
      </w:r>
      <w:r w:rsidR="00254D6D" w:rsidRPr="00CA1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мономеров и димеров иммуноглобулина </w:t>
      </w:r>
      <w:r>
        <w:rPr>
          <w:sz w:val="28"/>
          <w:szCs w:val="28"/>
          <w:lang w:val="en-US"/>
        </w:rPr>
        <w:t>G</w:t>
      </w:r>
      <w:r w:rsidRPr="008577E7">
        <w:rPr>
          <w:sz w:val="28"/>
          <w:szCs w:val="28"/>
        </w:rPr>
        <w:t xml:space="preserve"> </w:t>
      </w:r>
      <w:r w:rsidR="00501F45">
        <w:rPr>
          <w:sz w:val="28"/>
          <w:szCs w:val="28"/>
        </w:rPr>
        <w:t>должно быть не менее 85</w:t>
      </w:r>
      <w:r>
        <w:rPr>
          <w:sz w:val="28"/>
          <w:szCs w:val="28"/>
        </w:rPr>
        <w:t xml:space="preserve"> %, </w:t>
      </w:r>
      <w:r w:rsidRPr="00CA19ED">
        <w:rPr>
          <w:sz w:val="28"/>
          <w:szCs w:val="28"/>
        </w:rPr>
        <w:t>полимеров</w:t>
      </w:r>
      <w:r w:rsidR="00405BF5" w:rsidRPr="00CA19ED">
        <w:rPr>
          <w:sz w:val="28"/>
          <w:szCs w:val="28"/>
        </w:rPr>
        <w:t xml:space="preserve">   </w:t>
      </w:r>
      <w:r w:rsidR="00501F45" w:rsidRPr="00CA19ED">
        <w:rPr>
          <w:sz w:val="28"/>
          <w:szCs w:val="28"/>
        </w:rPr>
        <w:t>и агрегатов – не более 10 %, фрагментов – н</w:t>
      </w:r>
      <w:r w:rsidR="009947F5" w:rsidRPr="00CA19ED">
        <w:rPr>
          <w:sz w:val="28"/>
          <w:szCs w:val="28"/>
        </w:rPr>
        <w:t>е</w:t>
      </w:r>
      <w:r w:rsidR="007F7A1E" w:rsidRPr="00CA19ED">
        <w:rPr>
          <w:sz w:val="28"/>
          <w:szCs w:val="28"/>
        </w:rPr>
        <w:t xml:space="preserve"> более 5 %.</w:t>
      </w:r>
    </w:p>
    <w:p w:rsidR="00CA5F63" w:rsidRDefault="00CA5F63" w:rsidP="003652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Фракционный состав</w:t>
      </w:r>
      <w:r>
        <w:rPr>
          <w:sz w:val="28"/>
          <w:szCs w:val="28"/>
        </w:rPr>
        <w:t xml:space="preserve">. Должна выявляться интенсивная дуга преципитации </w:t>
      </w:r>
      <w:r>
        <w:rPr>
          <w:sz w:val="28"/>
          <w:szCs w:val="28"/>
          <w:lang w:val="en-US"/>
        </w:rPr>
        <w:t>IgG</w:t>
      </w:r>
      <w:r w:rsidRPr="00426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 более четырех дополнительных  дуг. Испытание проводят  в соответствии с </w:t>
      </w:r>
      <w:r w:rsidR="00AD38D1">
        <w:rPr>
          <w:sz w:val="28"/>
          <w:szCs w:val="28"/>
        </w:rPr>
        <w:t>ОФС «</w:t>
      </w:r>
      <w:proofErr w:type="spellStart"/>
      <w:r w:rsidR="00AD38D1">
        <w:rPr>
          <w:sz w:val="28"/>
          <w:szCs w:val="28"/>
        </w:rPr>
        <w:t>Иммуноэлектрофорез</w:t>
      </w:r>
      <w:proofErr w:type="spellEnd"/>
      <w:r w:rsidR="00AD38D1">
        <w:rPr>
          <w:sz w:val="28"/>
          <w:szCs w:val="28"/>
        </w:rPr>
        <w:t xml:space="preserve"> в агаровом геле»</w:t>
      </w:r>
      <w:r>
        <w:rPr>
          <w:sz w:val="28"/>
          <w:szCs w:val="28"/>
        </w:rPr>
        <w:t xml:space="preserve"> с использованием сыворотки для иммуноэлектрофореза против </w:t>
      </w:r>
      <w:r w:rsidRPr="003A362D">
        <w:rPr>
          <w:sz w:val="28"/>
          <w:szCs w:val="28"/>
        </w:rPr>
        <w:t>сывороточных белков крови человека.</w:t>
      </w:r>
      <w:r>
        <w:rPr>
          <w:sz w:val="28"/>
          <w:szCs w:val="28"/>
        </w:rPr>
        <w:t xml:space="preserve"> </w:t>
      </w:r>
    </w:p>
    <w:p w:rsidR="00CA5F63" w:rsidRPr="00C61406" w:rsidRDefault="00CA5F63" w:rsidP="00365279">
      <w:pPr>
        <w:spacing w:line="360" w:lineRule="auto"/>
        <w:ind w:firstLine="709"/>
        <w:jc w:val="both"/>
        <w:rPr>
          <w:sz w:val="28"/>
          <w:szCs w:val="28"/>
        </w:rPr>
      </w:pPr>
      <w:r w:rsidRPr="000C6B0E">
        <w:rPr>
          <w:b/>
          <w:sz w:val="28"/>
          <w:szCs w:val="28"/>
        </w:rPr>
        <w:t>Стерильность.</w:t>
      </w:r>
      <w:r w:rsidRPr="00664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быть стерильным. Испытание проводят </w:t>
      </w:r>
      <w:r w:rsidR="001D5256">
        <w:rPr>
          <w:sz w:val="28"/>
          <w:szCs w:val="28"/>
        </w:rPr>
        <w:t xml:space="preserve">методом прямого посева или мембранной фильтрации </w:t>
      </w:r>
      <w:r>
        <w:rPr>
          <w:sz w:val="28"/>
          <w:szCs w:val="28"/>
        </w:rPr>
        <w:t>в соответствии с ОФС «Стерильность».</w:t>
      </w:r>
    </w:p>
    <w:p w:rsidR="00CA5F63" w:rsidRDefault="00CA5F63" w:rsidP="00365279">
      <w:pPr>
        <w:spacing w:line="360" w:lineRule="auto"/>
        <w:ind w:firstLine="709"/>
        <w:jc w:val="both"/>
        <w:rPr>
          <w:sz w:val="28"/>
          <w:szCs w:val="28"/>
        </w:rPr>
      </w:pPr>
      <w:r w:rsidRPr="000C6B0E">
        <w:rPr>
          <w:b/>
          <w:sz w:val="28"/>
          <w:szCs w:val="28"/>
        </w:rPr>
        <w:t>Пирогенность.</w:t>
      </w:r>
      <w:r>
        <w:rPr>
          <w:b/>
          <w:sz w:val="28"/>
          <w:szCs w:val="28"/>
        </w:rPr>
        <w:t xml:space="preserve"> </w:t>
      </w:r>
      <w:r w:rsidRPr="00664D19">
        <w:rPr>
          <w:sz w:val="28"/>
          <w:szCs w:val="28"/>
        </w:rPr>
        <w:t>Должен быть апирогенным</w:t>
      </w:r>
      <w:r>
        <w:rPr>
          <w:b/>
          <w:sz w:val="28"/>
          <w:szCs w:val="28"/>
        </w:rPr>
        <w:t xml:space="preserve">. </w:t>
      </w:r>
      <w:r w:rsidRPr="000C6B0E">
        <w:rPr>
          <w:sz w:val="28"/>
          <w:szCs w:val="28"/>
        </w:rPr>
        <w:t>И</w:t>
      </w:r>
      <w:r>
        <w:rPr>
          <w:sz w:val="28"/>
          <w:szCs w:val="28"/>
        </w:rPr>
        <w:t>спытание проводят в соответствии с ОФС «Пирогенность». Объем вводимого препарата не должен превышать 1,5 мл на 1 кг массы кролика.</w:t>
      </w:r>
    </w:p>
    <w:p w:rsidR="002B3B00" w:rsidRPr="00CA19ED" w:rsidRDefault="00CA5F63" w:rsidP="00365279">
      <w:pPr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b/>
          <w:sz w:val="28"/>
          <w:szCs w:val="28"/>
        </w:rPr>
        <w:t>Аномальная токсичность.</w:t>
      </w:r>
      <w:r w:rsidRPr="00321FD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05048">
        <w:rPr>
          <w:sz w:val="28"/>
          <w:szCs w:val="28"/>
        </w:rPr>
        <w:t>о</w:t>
      </w:r>
      <w:r>
        <w:rPr>
          <w:sz w:val="28"/>
          <w:szCs w:val="28"/>
        </w:rPr>
        <w:t>лже</w:t>
      </w:r>
      <w:r w:rsidR="007134D3">
        <w:rPr>
          <w:sz w:val="28"/>
          <w:szCs w:val="28"/>
        </w:rPr>
        <w:t>н</w:t>
      </w:r>
      <w:r w:rsidR="00A431CE">
        <w:rPr>
          <w:sz w:val="28"/>
          <w:szCs w:val="28"/>
        </w:rPr>
        <w:t xml:space="preserve"> быть нетоксичным. </w:t>
      </w:r>
      <w:r>
        <w:rPr>
          <w:sz w:val="28"/>
          <w:szCs w:val="28"/>
        </w:rPr>
        <w:t xml:space="preserve">Испытание </w:t>
      </w:r>
      <w:r w:rsidRPr="00E05048">
        <w:rPr>
          <w:sz w:val="28"/>
          <w:szCs w:val="28"/>
        </w:rPr>
        <w:t xml:space="preserve">проводят </w:t>
      </w:r>
      <w:r>
        <w:rPr>
          <w:sz w:val="28"/>
          <w:szCs w:val="28"/>
        </w:rPr>
        <w:t>в соответствии с ОФС</w:t>
      </w:r>
      <w:r w:rsidRPr="00E05048">
        <w:rPr>
          <w:sz w:val="28"/>
          <w:szCs w:val="28"/>
        </w:rPr>
        <w:t xml:space="preserve"> </w:t>
      </w:r>
      <w:r>
        <w:rPr>
          <w:sz w:val="28"/>
          <w:szCs w:val="28"/>
        </w:rPr>
        <w:t>«Аномальная токсичность</w:t>
      </w:r>
      <w:r w:rsidR="00C145D0">
        <w:rPr>
          <w:sz w:val="28"/>
          <w:szCs w:val="28"/>
        </w:rPr>
        <w:t>.</w:t>
      </w:r>
      <w:r w:rsidR="00CA19ED">
        <w:rPr>
          <w:sz w:val="28"/>
          <w:szCs w:val="28"/>
        </w:rPr>
        <w:t xml:space="preserve"> </w:t>
      </w:r>
      <w:r w:rsidR="00C145D0" w:rsidRPr="00CA19ED">
        <w:rPr>
          <w:sz w:val="28"/>
          <w:szCs w:val="28"/>
        </w:rPr>
        <w:t>Тест для вакцин и сывороток</w:t>
      </w:r>
      <w:r w:rsidRPr="00CA19ED">
        <w:rPr>
          <w:sz w:val="28"/>
          <w:szCs w:val="28"/>
        </w:rPr>
        <w:t>»</w:t>
      </w:r>
      <w:r w:rsidR="001F1B86" w:rsidRPr="00CA19ED">
        <w:rPr>
          <w:sz w:val="28"/>
          <w:szCs w:val="28"/>
        </w:rPr>
        <w:t>.</w:t>
      </w:r>
      <w:r w:rsidR="002F5D85" w:rsidRPr="00CA19ED">
        <w:rPr>
          <w:sz w:val="28"/>
          <w:szCs w:val="28"/>
        </w:rPr>
        <w:t xml:space="preserve"> </w:t>
      </w:r>
    </w:p>
    <w:p w:rsidR="003F40BD" w:rsidRDefault="002B3B00" w:rsidP="00365279">
      <w:pPr>
        <w:spacing w:line="360" w:lineRule="auto"/>
        <w:ind w:firstLine="709"/>
        <w:jc w:val="both"/>
        <w:rPr>
          <w:sz w:val="28"/>
          <w:szCs w:val="28"/>
        </w:rPr>
      </w:pPr>
      <w:r w:rsidRPr="00CA19ED">
        <w:rPr>
          <w:sz w:val="28"/>
          <w:szCs w:val="28"/>
        </w:rPr>
        <w:t xml:space="preserve">Препарат вводят </w:t>
      </w:r>
      <w:r w:rsidR="00356C62" w:rsidRPr="00CA19ED">
        <w:rPr>
          <w:sz w:val="28"/>
          <w:szCs w:val="28"/>
        </w:rPr>
        <w:t xml:space="preserve">внутрибрюшинно 5 белым </w:t>
      </w:r>
      <w:r w:rsidR="002F5D85" w:rsidRPr="00CA19ED">
        <w:rPr>
          <w:sz w:val="28"/>
          <w:szCs w:val="28"/>
        </w:rPr>
        <w:t xml:space="preserve">мышам с </w:t>
      </w:r>
      <w:r w:rsidR="00CA5F63" w:rsidRPr="00CA19ED">
        <w:rPr>
          <w:sz w:val="28"/>
          <w:szCs w:val="28"/>
        </w:rPr>
        <w:t>массой</w:t>
      </w:r>
      <w:r w:rsidR="002F5D85">
        <w:rPr>
          <w:sz w:val="28"/>
          <w:szCs w:val="28"/>
        </w:rPr>
        <w:t xml:space="preserve"> тела</w:t>
      </w:r>
      <w:r w:rsidR="00CA5F63" w:rsidRPr="00BF0F3B">
        <w:rPr>
          <w:sz w:val="28"/>
          <w:szCs w:val="28"/>
        </w:rPr>
        <w:t xml:space="preserve"> 17-20 г</w:t>
      </w:r>
      <w:r w:rsidR="002F5D85">
        <w:rPr>
          <w:sz w:val="28"/>
          <w:szCs w:val="28"/>
        </w:rPr>
        <w:t xml:space="preserve"> </w:t>
      </w:r>
      <w:r w:rsidR="00356C62">
        <w:rPr>
          <w:sz w:val="28"/>
          <w:szCs w:val="28"/>
        </w:rPr>
        <w:t xml:space="preserve">по 0,5 мл и двум </w:t>
      </w:r>
      <w:r w:rsidR="005D08A2">
        <w:rPr>
          <w:sz w:val="28"/>
          <w:szCs w:val="28"/>
        </w:rPr>
        <w:t>морским</w:t>
      </w:r>
      <w:r w:rsidR="00CA5F63" w:rsidRPr="00BF0F3B">
        <w:rPr>
          <w:sz w:val="28"/>
          <w:szCs w:val="28"/>
        </w:rPr>
        <w:t xml:space="preserve"> </w:t>
      </w:r>
      <w:r w:rsidR="005D08A2">
        <w:rPr>
          <w:sz w:val="28"/>
          <w:szCs w:val="28"/>
        </w:rPr>
        <w:t>свинкам</w:t>
      </w:r>
      <w:r w:rsidR="00A431CE">
        <w:rPr>
          <w:sz w:val="28"/>
          <w:szCs w:val="28"/>
        </w:rPr>
        <w:t xml:space="preserve"> с массой тела 250-300 г </w:t>
      </w:r>
      <w:r w:rsidR="002F5D85" w:rsidRPr="00CA19ED">
        <w:rPr>
          <w:sz w:val="28"/>
          <w:szCs w:val="28"/>
        </w:rPr>
        <w:t xml:space="preserve">- </w:t>
      </w:r>
      <w:r w:rsidR="001D5256" w:rsidRPr="00CA19ED">
        <w:rPr>
          <w:sz w:val="28"/>
          <w:szCs w:val="28"/>
        </w:rPr>
        <w:t xml:space="preserve">по </w:t>
      </w:r>
      <w:r w:rsidR="00CA5F63" w:rsidRPr="00CA19ED">
        <w:rPr>
          <w:sz w:val="28"/>
          <w:szCs w:val="28"/>
        </w:rPr>
        <w:t xml:space="preserve">5 мл </w:t>
      </w:r>
      <w:r w:rsidR="00E570C2" w:rsidRPr="00CA19ED">
        <w:rPr>
          <w:sz w:val="28"/>
          <w:szCs w:val="28"/>
        </w:rPr>
        <w:t>(</w:t>
      </w:r>
      <w:r w:rsidR="001D5256">
        <w:rPr>
          <w:sz w:val="28"/>
          <w:szCs w:val="28"/>
        </w:rPr>
        <w:t>по 2,5</w:t>
      </w:r>
      <w:r w:rsidR="001721FE">
        <w:rPr>
          <w:sz w:val="28"/>
          <w:szCs w:val="28"/>
        </w:rPr>
        <w:t xml:space="preserve"> </w:t>
      </w:r>
      <w:r w:rsidR="00356C62">
        <w:rPr>
          <w:sz w:val="28"/>
          <w:szCs w:val="28"/>
        </w:rPr>
        <w:t xml:space="preserve">мл в каждый </w:t>
      </w:r>
      <w:r w:rsidR="001721FE">
        <w:rPr>
          <w:sz w:val="28"/>
          <w:szCs w:val="28"/>
        </w:rPr>
        <w:t>бок</w:t>
      </w:r>
      <w:r w:rsidR="001D5256">
        <w:rPr>
          <w:sz w:val="28"/>
          <w:szCs w:val="28"/>
        </w:rPr>
        <w:t xml:space="preserve">) </w:t>
      </w:r>
      <w:r w:rsidR="00FD6E2A">
        <w:rPr>
          <w:sz w:val="28"/>
          <w:szCs w:val="28"/>
        </w:rPr>
        <w:t>подкожно.</w:t>
      </w:r>
      <w:r w:rsidR="008C3078">
        <w:rPr>
          <w:sz w:val="28"/>
          <w:szCs w:val="28"/>
        </w:rPr>
        <w:t xml:space="preserve"> </w:t>
      </w:r>
      <w:r w:rsidR="004D0283">
        <w:rPr>
          <w:sz w:val="28"/>
          <w:szCs w:val="28"/>
        </w:rPr>
        <w:t>Наблюдение</w:t>
      </w:r>
      <w:r w:rsidR="008C3078">
        <w:rPr>
          <w:sz w:val="28"/>
          <w:szCs w:val="28"/>
        </w:rPr>
        <w:t xml:space="preserve"> за животными проводят </w:t>
      </w:r>
      <w:r w:rsidR="004D0283">
        <w:rPr>
          <w:sz w:val="28"/>
          <w:szCs w:val="28"/>
        </w:rPr>
        <w:t xml:space="preserve">в течение </w:t>
      </w:r>
      <w:r w:rsidR="006C4F41">
        <w:rPr>
          <w:sz w:val="28"/>
          <w:szCs w:val="28"/>
        </w:rPr>
        <w:t>7 суток</w:t>
      </w:r>
      <w:r w:rsidR="00C641E5">
        <w:rPr>
          <w:sz w:val="28"/>
          <w:szCs w:val="28"/>
        </w:rPr>
        <w:t>.</w:t>
      </w:r>
      <w:r w:rsidR="00CA5F63" w:rsidRPr="0079137E">
        <w:rPr>
          <w:sz w:val="28"/>
          <w:szCs w:val="28"/>
        </w:rPr>
        <w:t xml:space="preserve"> </w:t>
      </w:r>
    </w:p>
    <w:p w:rsidR="00CA5F63" w:rsidRPr="00DE7CCE" w:rsidRDefault="00CA5F63" w:rsidP="00365279">
      <w:pPr>
        <w:spacing w:line="360" w:lineRule="auto"/>
        <w:ind w:firstLine="709"/>
        <w:jc w:val="both"/>
        <w:rPr>
          <w:sz w:val="28"/>
          <w:szCs w:val="28"/>
        </w:rPr>
      </w:pPr>
      <w:r w:rsidRPr="00DE7CCE">
        <w:rPr>
          <w:b/>
          <w:sz w:val="28"/>
          <w:szCs w:val="28"/>
        </w:rPr>
        <w:t>Термостабильность.</w:t>
      </w:r>
      <w:r>
        <w:rPr>
          <w:b/>
          <w:sz w:val="28"/>
          <w:szCs w:val="28"/>
        </w:rPr>
        <w:t xml:space="preserve"> </w:t>
      </w:r>
      <w:r w:rsidR="007B584E">
        <w:rPr>
          <w:sz w:val="28"/>
          <w:szCs w:val="28"/>
        </w:rPr>
        <w:t xml:space="preserve">Препарат </w:t>
      </w:r>
      <w:r w:rsidRPr="00DE7CCE">
        <w:rPr>
          <w:sz w:val="28"/>
          <w:szCs w:val="28"/>
        </w:rPr>
        <w:t xml:space="preserve">в ампуле должен оставаться жидким и не образовывать гель </w:t>
      </w:r>
      <w:r w:rsidR="007B584E">
        <w:rPr>
          <w:sz w:val="28"/>
          <w:szCs w:val="28"/>
        </w:rPr>
        <w:t xml:space="preserve">после </w:t>
      </w:r>
      <w:r w:rsidRPr="00DE7CCE">
        <w:rPr>
          <w:sz w:val="28"/>
          <w:szCs w:val="28"/>
        </w:rPr>
        <w:t xml:space="preserve">прогревания на водяной </w:t>
      </w:r>
      <w:r w:rsidR="007B584E">
        <w:rPr>
          <w:sz w:val="28"/>
          <w:szCs w:val="28"/>
        </w:rPr>
        <w:t xml:space="preserve">бане при температуре (56±1) °С </w:t>
      </w:r>
      <w:r w:rsidRPr="00DE7CCE">
        <w:rPr>
          <w:sz w:val="28"/>
          <w:szCs w:val="28"/>
        </w:rPr>
        <w:t>в течение 4 ч. Определ</w:t>
      </w:r>
      <w:r>
        <w:rPr>
          <w:sz w:val="28"/>
          <w:szCs w:val="28"/>
        </w:rPr>
        <w:t>ение проводят</w:t>
      </w:r>
      <w:r w:rsidRPr="00DE7CCE">
        <w:rPr>
          <w:sz w:val="28"/>
          <w:szCs w:val="28"/>
        </w:rPr>
        <w:t xml:space="preserve"> визуально.</w:t>
      </w:r>
    </w:p>
    <w:p w:rsidR="007134D3" w:rsidRDefault="00C401C1" w:rsidP="00A846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CA5F63" w:rsidRPr="00F7651E">
        <w:rPr>
          <w:b/>
          <w:sz w:val="28"/>
          <w:szCs w:val="28"/>
        </w:rPr>
        <w:t>пецифическая активность</w:t>
      </w:r>
      <w:r w:rsidRPr="00C40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(содержание антител</w:t>
      </w:r>
      <w:r>
        <w:rPr>
          <w:sz w:val="28"/>
          <w:szCs w:val="28"/>
        </w:rPr>
        <w:t>). Содержание</w:t>
      </w:r>
      <w:r w:rsidR="00CA5F63" w:rsidRPr="005D24D6">
        <w:rPr>
          <w:sz w:val="28"/>
          <w:szCs w:val="28"/>
        </w:rPr>
        <w:t xml:space="preserve"> антител к</w:t>
      </w:r>
      <w:r w:rsidR="00CA5F63">
        <w:rPr>
          <w:b/>
          <w:sz w:val="28"/>
          <w:szCs w:val="28"/>
        </w:rPr>
        <w:t xml:space="preserve"> </w:t>
      </w:r>
      <w:r w:rsidR="00CA5F63">
        <w:rPr>
          <w:sz w:val="28"/>
          <w:szCs w:val="28"/>
        </w:rPr>
        <w:t>ортопоксвирусам</w:t>
      </w:r>
      <w:r w:rsidR="00CA5F63" w:rsidRPr="00F7651E">
        <w:rPr>
          <w:sz w:val="28"/>
          <w:szCs w:val="28"/>
        </w:rPr>
        <w:t xml:space="preserve"> </w:t>
      </w:r>
      <w:r w:rsidR="00CA5F63">
        <w:rPr>
          <w:sz w:val="28"/>
          <w:szCs w:val="28"/>
        </w:rPr>
        <w:t>должен быть не менее 1:4000</w:t>
      </w:r>
      <w:r w:rsidR="007134D3">
        <w:rPr>
          <w:sz w:val="28"/>
          <w:szCs w:val="28"/>
        </w:rPr>
        <w:t>.</w:t>
      </w:r>
      <w:r w:rsidR="00CA5F63">
        <w:rPr>
          <w:sz w:val="28"/>
          <w:szCs w:val="28"/>
        </w:rPr>
        <w:t xml:space="preserve"> </w:t>
      </w:r>
      <w:r w:rsidR="007134D3">
        <w:rPr>
          <w:sz w:val="28"/>
          <w:szCs w:val="28"/>
        </w:rPr>
        <w:t>О</w:t>
      </w:r>
      <w:r w:rsidR="00CA5F63">
        <w:rPr>
          <w:sz w:val="28"/>
          <w:szCs w:val="28"/>
        </w:rPr>
        <w:t>пределение проводят в реакции нейтрализации. Исследуют см</w:t>
      </w:r>
      <w:r w:rsidR="001721FE">
        <w:rPr>
          <w:sz w:val="28"/>
          <w:szCs w:val="28"/>
        </w:rPr>
        <w:t xml:space="preserve">еси разведений иммуноглобулина </w:t>
      </w:r>
      <w:r w:rsidR="00CA5F63">
        <w:rPr>
          <w:sz w:val="28"/>
          <w:szCs w:val="28"/>
        </w:rPr>
        <w:t>с рабочим разведением вирусного материала на хорионаллантоисных оболочках (ХАО) 12-дневных куриных эмбрионов (КЭ)</w:t>
      </w:r>
      <w:r w:rsidR="007134D3">
        <w:rPr>
          <w:sz w:val="28"/>
          <w:szCs w:val="28"/>
        </w:rPr>
        <w:t>.</w:t>
      </w:r>
    </w:p>
    <w:p w:rsidR="00C90FF8" w:rsidRDefault="00CA5F63" w:rsidP="00365279">
      <w:pPr>
        <w:spacing w:line="360" w:lineRule="auto"/>
        <w:ind w:firstLine="709"/>
        <w:jc w:val="both"/>
        <w:rPr>
          <w:sz w:val="28"/>
          <w:szCs w:val="28"/>
        </w:rPr>
      </w:pPr>
      <w:r w:rsidRPr="00E05048">
        <w:rPr>
          <w:sz w:val="28"/>
          <w:szCs w:val="28"/>
        </w:rPr>
        <w:t xml:space="preserve">Подготовка куриных эмбрионов. </w:t>
      </w:r>
    </w:p>
    <w:p w:rsidR="00CA5F63" w:rsidRPr="00E05048" w:rsidRDefault="00CA5F63" w:rsidP="00365279">
      <w:pPr>
        <w:spacing w:line="360" w:lineRule="auto"/>
        <w:ind w:firstLine="709"/>
        <w:jc w:val="both"/>
        <w:rPr>
          <w:sz w:val="28"/>
          <w:szCs w:val="28"/>
        </w:rPr>
      </w:pPr>
      <w:r w:rsidRPr="00E05048">
        <w:rPr>
          <w:sz w:val="28"/>
          <w:szCs w:val="28"/>
        </w:rPr>
        <w:t xml:space="preserve">Овоскопию куриных эмбрионов проводят в </w:t>
      </w:r>
      <w:r>
        <w:rPr>
          <w:sz w:val="28"/>
          <w:szCs w:val="28"/>
        </w:rPr>
        <w:t>за</w:t>
      </w:r>
      <w:r w:rsidRPr="00E05048">
        <w:rPr>
          <w:sz w:val="28"/>
          <w:szCs w:val="28"/>
        </w:rPr>
        <w:t>темн</w:t>
      </w:r>
      <w:r>
        <w:rPr>
          <w:sz w:val="28"/>
          <w:szCs w:val="28"/>
        </w:rPr>
        <w:t>енном помещении</w:t>
      </w:r>
      <w:r w:rsidRPr="00E05048">
        <w:rPr>
          <w:sz w:val="28"/>
          <w:szCs w:val="28"/>
        </w:rPr>
        <w:t>. Каждый эмбрион просматривают в направленном пучке света. Свет должен падать сверху на тупой конец яйца. Бракуют яйцо с погибшим эмб</w:t>
      </w:r>
      <w:r w:rsidR="00FD6E2A">
        <w:rPr>
          <w:sz w:val="28"/>
          <w:szCs w:val="28"/>
        </w:rPr>
        <w:t>рионом или имеющее кровоизлияние</w:t>
      </w:r>
      <w:r w:rsidRPr="00E05048">
        <w:rPr>
          <w:sz w:val="28"/>
          <w:szCs w:val="28"/>
        </w:rPr>
        <w:t xml:space="preserve"> под оболочкой. В центре воздушного мешка и на боковой поверхности яйца, на участке между сосудами и их ответвлениями карандашом делают отметку. В местах отметок пропиливают бормашиной с абразивным диском отверстия (щели) дл</w:t>
      </w:r>
      <w:r w:rsidR="00A431CE">
        <w:rPr>
          <w:sz w:val="28"/>
          <w:szCs w:val="28"/>
        </w:rPr>
        <w:t xml:space="preserve">иной </w:t>
      </w:r>
      <w:r w:rsidRPr="00E05048">
        <w:rPr>
          <w:sz w:val="28"/>
          <w:szCs w:val="28"/>
        </w:rPr>
        <w:t>3-4 мм и шириной 1,5 мм, не повреждая оболочки. Яйцо укладывают так, чтобы отверстие на боковой стороне было обращено вверх. Подскорлупную оболочку в центре воздушного мешка прорывают плоской полукруглой хирургической иглой. Затем на отверстие, расположенное на боковой поверхности, в</w:t>
      </w:r>
      <w:r w:rsidR="00FD6E2A">
        <w:rPr>
          <w:sz w:val="28"/>
          <w:szCs w:val="28"/>
        </w:rPr>
        <w:t xml:space="preserve">носят 0,1 мл </w:t>
      </w:r>
      <w:r w:rsidR="001C27E7" w:rsidRPr="008F09C6">
        <w:rPr>
          <w:sz w:val="28"/>
          <w:szCs w:val="28"/>
        </w:rPr>
        <w:t>стерильного фосфатно-цитратного буферного раствора Мак-Ильвейна 0,004 М (ФЦБ), подогретого</w:t>
      </w:r>
      <w:r w:rsidRPr="008F09C6">
        <w:rPr>
          <w:sz w:val="28"/>
          <w:szCs w:val="28"/>
        </w:rPr>
        <w:t xml:space="preserve"> до</w:t>
      </w:r>
      <w:r w:rsidRPr="00E05048">
        <w:rPr>
          <w:sz w:val="28"/>
          <w:szCs w:val="28"/>
        </w:rPr>
        <w:t xml:space="preserve"> температуры (50±5) °С, и той же иглой осторожно продавливают подскорлупную оболочку. После этого практически вся капля раствора проходит под подскорлупную оболочку и частично отслаивает </w:t>
      </w:r>
      <w:r>
        <w:rPr>
          <w:sz w:val="28"/>
          <w:szCs w:val="28"/>
        </w:rPr>
        <w:t>ХАО.</w:t>
      </w:r>
    </w:p>
    <w:p w:rsidR="00CA5F63" w:rsidRDefault="00CA5F63" w:rsidP="001721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отверстия в центре воздушного мешка резиновой </w:t>
      </w:r>
      <w:r w:rsidRPr="00E05048">
        <w:rPr>
          <w:sz w:val="28"/>
          <w:szCs w:val="28"/>
        </w:rPr>
        <w:t>грушей осторожно отсасывают воздух до полного опуска</w:t>
      </w:r>
      <w:r>
        <w:rPr>
          <w:sz w:val="28"/>
          <w:szCs w:val="28"/>
        </w:rPr>
        <w:t>ния  ХАО</w:t>
      </w:r>
      <w:r w:rsidRPr="00E05048">
        <w:rPr>
          <w:sz w:val="28"/>
          <w:szCs w:val="28"/>
        </w:rPr>
        <w:t xml:space="preserve"> и создания искусственного воздушного мешка под боковой щелью. Для контроля наличия и величины искусственного воздушного мешка вновь проводят овоскопию и бракуют эмбрионы, имеющие кровоизлияния, воздушные мешки под ХАО или без искусственных воздушных мешков. Яйца с опущенной ХАО помещают на </w:t>
      </w:r>
      <w:r w:rsidRPr="00E05048">
        <w:rPr>
          <w:sz w:val="28"/>
          <w:szCs w:val="28"/>
        </w:rPr>
        <w:lastRenderedPageBreak/>
        <w:t>лотки отверстием вверх и выдерживают 2 ч в термостате при температуре (37±1) °С. Затем проводят овоскопию повторно и бракуют эмбрион</w:t>
      </w:r>
      <w:r>
        <w:rPr>
          <w:sz w:val="28"/>
          <w:szCs w:val="28"/>
        </w:rPr>
        <w:t xml:space="preserve">ы с воздушными мешками под ХАО, </w:t>
      </w:r>
      <w:r w:rsidRPr="00E05048">
        <w:rPr>
          <w:sz w:val="28"/>
          <w:szCs w:val="28"/>
        </w:rPr>
        <w:t>без искусственных воздуш</w:t>
      </w:r>
      <w:r>
        <w:rPr>
          <w:sz w:val="28"/>
          <w:szCs w:val="28"/>
        </w:rPr>
        <w:t>ных мешков и имеющие кровоизлияния.</w:t>
      </w:r>
    </w:p>
    <w:p w:rsidR="00CA5F63" w:rsidRDefault="00CA5F63" w:rsidP="003652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Постановка</w:t>
      </w:r>
      <w:r w:rsidRPr="00E05048">
        <w:rPr>
          <w:sz w:val="28"/>
          <w:szCs w:val="28"/>
        </w:rPr>
        <w:t xml:space="preserve"> реак</w:t>
      </w:r>
      <w:r w:rsidR="001721FE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нейтрализации. </w:t>
      </w:r>
    </w:p>
    <w:p w:rsidR="00C90FF8" w:rsidRPr="008F09C6" w:rsidRDefault="00CA5F63" w:rsidP="00A84632">
      <w:pPr>
        <w:spacing w:line="360" w:lineRule="auto"/>
        <w:ind w:firstLine="708"/>
        <w:jc w:val="both"/>
        <w:rPr>
          <w:sz w:val="28"/>
          <w:szCs w:val="28"/>
        </w:rPr>
      </w:pPr>
      <w:r w:rsidRPr="00E05048">
        <w:rPr>
          <w:sz w:val="28"/>
          <w:szCs w:val="28"/>
        </w:rPr>
        <w:t xml:space="preserve">Для постановки реакции </w:t>
      </w:r>
      <w:r w:rsidR="005652BE">
        <w:rPr>
          <w:sz w:val="28"/>
          <w:szCs w:val="28"/>
        </w:rPr>
        <w:t>нейтрализации</w:t>
      </w:r>
      <w:r w:rsidR="004D4D93">
        <w:rPr>
          <w:sz w:val="28"/>
          <w:szCs w:val="28"/>
        </w:rPr>
        <w:t xml:space="preserve"> </w:t>
      </w:r>
      <w:r w:rsidRPr="00E05048">
        <w:rPr>
          <w:sz w:val="28"/>
          <w:szCs w:val="28"/>
        </w:rPr>
        <w:t>используют подготовл</w:t>
      </w:r>
      <w:r>
        <w:rPr>
          <w:sz w:val="28"/>
          <w:szCs w:val="28"/>
        </w:rPr>
        <w:t>енные куриные эмбрионы</w:t>
      </w:r>
      <w:r w:rsidR="004D4D93" w:rsidRPr="00483C92">
        <w:rPr>
          <w:sz w:val="28"/>
          <w:szCs w:val="28"/>
        </w:rPr>
        <w:t xml:space="preserve">, </w:t>
      </w:r>
      <w:r w:rsidR="006F539A" w:rsidRPr="008F09C6">
        <w:rPr>
          <w:sz w:val="28"/>
          <w:szCs w:val="28"/>
        </w:rPr>
        <w:t>стандартный образец</w:t>
      </w:r>
      <w:r w:rsidR="00C90FF8" w:rsidRPr="008F09C6">
        <w:rPr>
          <w:sz w:val="28"/>
          <w:szCs w:val="28"/>
        </w:rPr>
        <w:t xml:space="preserve"> активности специфичности и некротической активности оспенной вакцины</w:t>
      </w:r>
      <w:r w:rsidR="00C90FF8" w:rsidRPr="008F09C6">
        <w:rPr>
          <w:color w:val="FF0000"/>
          <w:sz w:val="28"/>
          <w:szCs w:val="28"/>
        </w:rPr>
        <w:t xml:space="preserve"> </w:t>
      </w:r>
      <w:r w:rsidR="00C90FF8" w:rsidRPr="008F09C6">
        <w:rPr>
          <w:sz w:val="28"/>
          <w:szCs w:val="28"/>
        </w:rPr>
        <w:t>в качестве вируса</w:t>
      </w:r>
      <w:r w:rsidR="004D4D93" w:rsidRPr="008F09C6">
        <w:rPr>
          <w:sz w:val="28"/>
          <w:szCs w:val="28"/>
        </w:rPr>
        <w:t xml:space="preserve"> </w:t>
      </w:r>
      <w:r w:rsidR="005652BE" w:rsidRPr="008F09C6">
        <w:rPr>
          <w:sz w:val="28"/>
          <w:szCs w:val="28"/>
        </w:rPr>
        <w:t>и испытуемый иммуноглобулин.</w:t>
      </w:r>
      <w:r w:rsidR="00C90FF8" w:rsidRPr="008F09C6">
        <w:rPr>
          <w:sz w:val="28"/>
          <w:szCs w:val="28"/>
        </w:rPr>
        <w:t xml:space="preserve"> </w:t>
      </w:r>
    </w:p>
    <w:p w:rsidR="008F09C6" w:rsidRDefault="00CA5F63" w:rsidP="00365279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8F09C6">
        <w:rPr>
          <w:sz w:val="28"/>
          <w:szCs w:val="28"/>
        </w:rPr>
        <w:t>Определяют рабочее разведение вируса</w:t>
      </w:r>
      <w:r w:rsidR="005652BE" w:rsidRPr="008F09C6">
        <w:rPr>
          <w:sz w:val="28"/>
          <w:szCs w:val="28"/>
        </w:rPr>
        <w:t xml:space="preserve"> </w:t>
      </w:r>
      <w:r w:rsidRPr="008F09C6">
        <w:rPr>
          <w:sz w:val="28"/>
          <w:szCs w:val="28"/>
        </w:rPr>
        <w:t xml:space="preserve">титрованием на ХАО 12-дневных куриных эмбрионов. </w:t>
      </w:r>
      <w:r w:rsidR="005652BE" w:rsidRPr="008F09C6">
        <w:rPr>
          <w:sz w:val="28"/>
          <w:szCs w:val="28"/>
        </w:rPr>
        <w:t>Для этого г</w:t>
      </w:r>
      <w:r w:rsidRPr="008F09C6">
        <w:rPr>
          <w:sz w:val="28"/>
          <w:szCs w:val="28"/>
        </w:rPr>
        <w:t>отовят ряд последовательных десятикратных разведений вируса на</w:t>
      </w:r>
      <w:r w:rsidR="002919B2" w:rsidRPr="008F09C6">
        <w:rPr>
          <w:sz w:val="28"/>
          <w:szCs w:val="28"/>
        </w:rPr>
        <w:t xml:space="preserve"> ФЦБ. </w:t>
      </w:r>
      <w:r w:rsidRPr="008F09C6">
        <w:rPr>
          <w:sz w:val="28"/>
          <w:szCs w:val="28"/>
        </w:rPr>
        <w:t>По 6 куриных эмбрионов заражают каждым разведением вируса, нанося</w:t>
      </w:r>
      <w:r w:rsidRPr="00E05048">
        <w:rPr>
          <w:sz w:val="28"/>
          <w:szCs w:val="28"/>
        </w:rPr>
        <w:t xml:space="preserve"> на ХАО по 0,1 мл. Инкубируют в термостате 48 ч при температуре (37±1) °С, затем проводят учет результатов.</w:t>
      </w:r>
      <w:r>
        <w:rPr>
          <w:sz w:val="28"/>
          <w:szCs w:val="28"/>
        </w:rPr>
        <w:t xml:space="preserve"> </w:t>
      </w:r>
      <w:r w:rsidRPr="00E05048">
        <w:rPr>
          <w:sz w:val="28"/>
          <w:szCs w:val="28"/>
        </w:rPr>
        <w:t>Эмбрионы вскрывают, подсчитывают количество развившихся на ХАО оспин, рассчитывают среднее арифметическое для каждого</w:t>
      </w:r>
      <w:r w:rsidR="001721FE">
        <w:rPr>
          <w:sz w:val="28"/>
          <w:szCs w:val="28"/>
        </w:rPr>
        <w:t xml:space="preserve"> разведения. Для нейтрализации используют то </w:t>
      </w:r>
      <w:r w:rsidRPr="00E05048">
        <w:rPr>
          <w:sz w:val="28"/>
          <w:szCs w:val="28"/>
        </w:rPr>
        <w:t xml:space="preserve">разведение </w:t>
      </w:r>
      <w:r>
        <w:rPr>
          <w:sz w:val="28"/>
          <w:szCs w:val="28"/>
        </w:rPr>
        <w:t>вир</w:t>
      </w:r>
      <w:r w:rsidR="004D4D93">
        <w:rPr>
          <w:sz w:val="28"/>
          <w:szCs w:val="28"/>
        </w:rPr>
        <w:t>у</w:t>
      </w:r>
      <w:r w:rsidR="001721FE">
        <w:rPr>
          <w:sz w:val="28"/>
          <w:szCs w:val="28"/>
        </w:rPr>
        <w:t xml:space="preserve">са, которое дает на ХАО </w:t>
      </w:r>
      <w:r w:rsidR="00C319B9">
        <w:rPr>
          <w:sz w:val="28"/>
          <w:szCs w:val="28"/>
        </w:rPr>
        <w:t xml:space="preserve">от </w:t>
      </w:r>
      <w:r w:rsidR="00C319B9" w:rsidRPr="008F09C6">
        <w:rPr>
          <w:sz w:val="28"/>
          <w:szCs w:val="28"/>
        </w:rPr>
        <w:t>40</w:t>
      </w:r>
      <w:r w:rsidR="001721FE" w:rsidRPr="008F09C6">
        <w:rPr>
          <w:sz w:val="28"/>
          <w:szCs w:val="28"/>
        </w:rPr>
        <w:t xml:space="preserve"> </w:t>
      </w:r>
      <w:r w:rsidR="004D4D93" w:rsidRPr="008F09C6">
        <w:rPr>
          <w:sz w:val="28"/>
          <w:szCs w:val="28"/>
        </w:rPr>
        <w:t>до 8</w:t>
      </w:r>
      <w:r w:rsidRPr="008F09C6">
        <w:rPr>
          <w:sz w:val="28"/>
          <w:szCs w:val="28"/>
        </w:rPr>
        <w:t>0</w:t>
      </w:r>
      <w:r w:rsidR="009128CC" w:rsidRPr="008F09C6">
        <w:rPr>
          <w:sz w:val="28"/>
          <w:szCs w:val="28"/>
        </w:rPr>
        <w:t xml:space="preserve"> оспин</w:t>
      </w:r>
      <w:r w:rsidR="001721FE" w:rsidRPr="008F09C6">
        <w:rPr>
          <w:sz w:val="28"/>
          <w:szCs w:val="28"/>
        </w:rPr>
        <w:t xml:space="preserve">, если нет других указаний </w:t>
      </w:r>
      <w:r w:rsidR="00BE3C52" w:rsidRPr="008F09C6">
        <w:rPr>
          <w:sz w:val="28"/>
          <w:szCs w:val="28"/>
        </w:rPr>
        <w:t xml:space="preserve">в нормативной документации производителя. </w:t>
      </w:r>
    </w:p>
    <w:p w:rsidR="00CA5F63" w:rsidRDefault="00CA5F63" w:rsidP="003652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основного опыта.</w:t>
      </w:r>
    </w:p>
    <w:p w:rsidR="00CA5F63" w:rsidRDefault="00523240" w:rsidP="000A10D0">
      <w:pPr>
        <w:spacing w:line="360" w:lineRule="auto"/>
        <w:ind w:firstLine="709"/>
        <w:jc w:val="both"/>
        <w:rPr>
          <w:sz w:val="28"/>
          <w:szCs w:val="28"/>
        </w:rPr>
      </w:pPr>
      <w:r w:rsidRPr="008F09C6">
        <w:rPr>
          <w:sz w:val="28"/>
          <w:szCs w:val="28"/>
        </w:rPr>
        <w:t xml:space="preserve">Готовят </w:t>
      </w:r>
      <w:r w:rsidR="00CA5F63" w:rsidRPr="008F09C6">
        <w:rPr>
          <w:sz w:val="28"/>
          <w:szCs w:val="28"/>
        </w:rPr>
        <w:t xml:space="preserve">разведения </w:t>
      </w:r>
      <w:r w:rsidRPr="008F09C6">
        <w:rPr>
          <w:sz w:val="28"/>
          <w:szCs w:val="28"/>
        </w:rPr>
        <w:t xml:space="preserve">иммуноглобулина человека противооспенного </w:t>
      </w:r>
      <w:r w:rsidR="00CA5F63" w:rsidRPr="008F09C6">
        <w:rPr>
          <w:sz w:val="28"/>
          <w:szCs w:val="28"/>
        </w:rPr>
        <w:t>на</w:t>
      </w:r>
      <w:r w:rsidR="002919B2" w:rsidRPr="008F09C6">
        <w:rPr>
          <w:sz w:val="28"/>
          <w:szCs w:val="28"/>
        </w:rPr>
        <w:t xml:space="preserve"> ФЦБ </w:t>
      </w:r>
      <w:r w:rsidR="00BB5411" w:rsidRPr="008F09C6">
        <w:rPr>
          <w:sz w:val="28"/>
          <w:szCs w:val="28"/>
        </w:rPr>
        <w:t>1:1000;</w:t>
      </w:r>
      <w:r w:rsidR="00AC1858" w:rsidRPr="008F09C6">
        <w:rPr>
          <w:sz w:val="28"/>
          <w:szCs w:val="28"/>
        </w:rPr>
        <w:t xml:space="preserve"> 1:2000; 1:3000; 1:4000 (если нет других указаний </w:t>
      </w:r>
      <w:r w:rsidR="00FB1FDC" w:rsidRPr="008F09C6">
        <w:rPr>
          <w:sz w:val="28"/>
          <w:szCs w:val="28"/>
        </w:rPr>
        <w:t>в нормативной документации производителя</w:t>
      </w:r>
      <w:r w:rsidR="00B613C9" w:rsidRPr="008F09C6">
        <w:rPr>
          <w:sz w:val="28"/>
          <w:szCs w:val="28"/>
        </w:rPr>
        <w:t>)</w:t>
      </w:r>
      <w:r w:rsidR="00FB1FDC" w:rsidRPr="008F09C6">
        <w:rPr>
          <w:sz w:val="28"/>
          <w:szCs w:val="28"/>
        </w:rPr>
        <w:t xml:space="preserve"> </w:t>
      </w:r>
      <w:r w:rsidR="00CA5F63" w:rsidRPr="008F09C6">
        <w:rPr>
          <w:sz w:val="28"/>
          <w:szCs w:val="28"/>
        </w:rPr>
        <w:t xml:space="preserve">и </w:t>
      </w:r>
      <w:r w:rsidR="001721FE" w:rsidRPr="008F09C6">
        <w:rPr>
          <w:sz w:val="28"/>
          <w:szCs w:val="28"/>
        </w:rPr>
        <w:t xml:space="preserve">контрольного отрицательного </w:t>
      </w:r>
      <w:r w:rsidR="000A10D0" w:rsidRPr="008F09C6">
        <w:rPr>
          <w:sz w:val="28"/>
          <w:szCs w:val="28"/>
        </w:rPr>
        <w:t xml:space="preserve">образца донорской </w:t>
      </w:r>
      <w:r w:rsidR="00CA5F63" w:rsidRPr="008F09C6">
        <w:rPr>
          <w:sz w:val="28"/>
          <w:szCs w:val="28"/>
        </w:rPr>
        <w:t>сыворотки от 1:250 до 1:500 в коли</w:t>
      </w:r>
      <w:r w:rsidR="000A10D0" w:rsidRPr="008F09C6">
        <w:rPr>
          <w:sz w:val="28"/>
          <w:szCs w:val="28"/>
        </w:rPr>
        <w:t xml:space="preserve">честве по 0,5-1,0 мл. </w:t>
      </w:r>
      <w:r w:rsidR="00CA5F63" w:rsidRPr="008F09C6">
        <w:rPr>
          <w:sz w:val="28"/>
          <w:szCs w:val="28"/>
        </w:rPr>
        <w:t>Разведения иммуноглобулина и</w:t>
      </w:r>
      <w:r w:rsidR="00CA5F63">
        <w:rPr>
          <w:sz w:val="28"/>
          <w:szCs w:val="28"/>
        </w:rPr>
        <w:t xml:space="preserve"> контрольного отрицательного образца донорской сыворотки смешивают с равным </w:t>
      </w:r>
      <w:r w:rsidR="00CA5F63" w:rsidRPr="00E05048">
        <w:rPr>
          <w:sz w:val="28"/>
          <w:szCs w:val="28"/>
        </w:rPr>
        <w:t>о</w:t>
      </w:r>
      <w:r w:rsidR="00CA5F63">
        <w:rPr>
          <w:sz w:val="28"/>
          <w:szCs w:val="28"/>
        </w:rPr>
        <w:t>бъёмом рабоч</w:t>
      </w:r>
      <w:r>
        <w:rPr>
          <w:sz w:val="28"/>
          <w:szCs w:val="28"/>
        </w:rPr>
        <w:t xml:space="preserve">его разведения вируссодержащей </w:t>
      </w:r>
      <w:r w:rsidR="00CA5F63">
        <w:rPr>
          <w:sz w:val="28"/>
          <w:szCs w:val="28"/>
        </w:rPr>
        <w:t>жидкости. После смешивания разведения удваиваю</w:t>
      </w:r>
      <w:r w:rsidR="00CA5F63" w:rsidRPr="00E05048">
        <w:rPr>
          <w:sz w:val="28"/>
          <w:szCs w:val="28"/>
        </w:rPr>
        <w:t>т</w:t>
      </w:r>
      <w:r w:rsidR="00CA5F63">
        <w:rPr>
          <w:sz w:val="28"/>
          <w:szCs w:val="28"/>
        </w:rPr>
        <w:t>ся и становятся соответственно для проб</w:t>
      </w:r>
      <w:r w:rsidR="00483C92">
        <w:rPr>
          <w:sz w:val="28"/>
          <w:szCs w:val="28"/>
        </w:rPr>
        <w:t xml:space="preserve"> иммуноглобулина:</w:t>
      </w:r>
      <w:r w:rsidR="003F40BD">
        <w:rPr>
          <w:sz w:val="28"/>
          <w:szCs w:val="28"/>
        </w:rPr>
        <w:t xml:space="preserve"> 1:2000; 1:4000; 1:6000; 1:8000, для </w:t>
      </w:r>
      <w:r w:rsidR="00CA5F63">
        <w:rPr>
          <w:sz w:val="28"/>
          <w:szCs w:val="28"/>
        </w:rPr>
        <w:t xml:space="preserve">контрольного отрицательного образца  донорской </w:t>
      </w:r>
      <w:r w:rsidR="00CA5F63">
        <w:rPr>
          <w:sz w:val="28"/>
          <w:szCs w:val="28"/>
        </w:rPr>
        <w:lastRenderedPageBreak/>
        <w:t>сыворотки: 1:500;</w:t>
      </w:r>
      <w:r w:rsidR="0026456F">
        <w:rPr>
          <w:sz w:val="28"/>
          <w:szCs w:val="28"/>
        </w:rPr>
        <w:t xml:space="preserve"> </w:t>
      </w:r>
      <w:r w:rsidR="00CA5F63">
        <w:rPr>
          <w:sz w:val="28"/>
          <w:szCs w:val="28"/>
        </w:rPr>
        <w:t>1:1000.</w:t>
      </w:r>
      <w:r w:rsidR="000A10D0">
        <w:rPr>
          <w:sz w:val="28"/>
          <w:szCs w:val="28"/>
        </w:rPr>
        <w:t xml:space="preserve"> Смеси </w:t>
      </w:r>
      <w:r w:rsidR="00CA5F63">
        <w:rPr>
          <w:sz w:val="28"/>
          <w:szCs w:val="28"/>
        </w:rPr>
        <w:t>вы</w:t>
      </w:r>
      <w:r w:rsidR="00CA5F63" w:rsidRPr="00E05048">
        <w:rPr>
          <w:sz w:val="28"/>
          <w:szCs w:val="28"/>
        </w:rPr>
        <w:t>держивают при температуре (37±1) °С в течение двух часов.</w:t>
      </w:r>
      <w:r w:rsidR="00CA5F63">
        <w:rPr>
          <w:sz w:val="28"/>
          <w:szCs w:val="28"/>
        </w:rPr>
        <w:t xml:space="preserve"> После</w:t>
      </w:r>
      <w:r w:rsidR="000A10D0">
        <w:rPr>
          <w:sz w:val="28"/>
          <w:szCs w:val="28"/>
        </w:rPr>
        <w:t xml:space="preserve"> чего наносят по 0,1 мл </w:t>
      </w:r>
      <w:r w:rsidR="00E836E8">
        <w:rPr>
          <w:sz w:val="28"/>
          <w:szCs w:val="28"/>
        </w:rPr>
        <w:t xml:space="preserve">каждого разведения </w:t>
      </w:r>
      <w:r w:rsidR="00CA5F63">
        <w:rPr>
          <w:sz w:val="28"/>
          <w:szCs w:val="28"/>
        </w:rPr>
        <w:t>смеси н</w:t>
      </w:r>
      <w:r w:rsidR="00CA5F63" w:rsidRPr="00E05048">
        <w:rPr>
          <w:sz w:val="28"/>
          <w:szCs w:val="28"/>
        </w:rPr>
        <w:t>а ХАО</w:t>
      </w:r>
      <w:r w:rsidR="00CA5F63">
        <w:rPr>
          <w:sz w:val="28"/>
          <w:szCs w:val="28"/>
        </w:rPr>
        <w:t xml:space="preserve"> </w:t>
      </w:r>
      <w:r w:rsidR="00CA5F63" w:rsidRPr="00E05048">
        <w:rPr>
          <w:sz w:val="28"/>
          <w:szCs w:val="28"/>
        </w:rPr>
        <w:t>куриных э</w:t>
      </w:r>
      <w:r w:rsidR="00CA5F63">
        <w:rPr>
          <w:sz w:val="28"/>
          <w:szCs w:val="28"/>
        </w:rPr>
        <w:t>мбрионов</w:t>
      </w:r>
      <w:r w:rsidR="00CA5F63" w:rsidRPr="00E05048">
        <w:rPr>
          <w:sz w:val="28"/>
          <w:szCs w:val="28"/>
        </w:rPr>
        <w:t>, используя для каждой смеси по 5-6 эмбрионов. Инкуб</w:t>
      </w:r>
      <w:r w:rsidR="00CA5F63">
        <w:rPr>
          <w:sz w:val="28"/>
          <w:szCs w:val="28"/>
        </w:rPr>
        <w:t>ируют в термостате 48 ч при температуре (37±1) °С. Эмбрионы вскрывают, рассч</w:t>
      </w:r>
      <w:r w:rsidR="000A10D0">
        <w:rPr>
          <w:sz w:val="28"/>
          <w:szCs w:val="28"/>
        </w:rPr>
        <w:t xml:space="preserve">итывают среднее арифметическое </w:t>
      </w:r>
      <w:r w:rsidR="00CA5F63">
        <w:rPr>
          <w:sz w:val="28"/>
          <w:szCs w:val="28"/>
        </w:rPr>
        <w:t>количество оспин для каждого раз</w:t>
      </w:r>
      <w:r w:rsidR="00F01B89">
        <w:rPr>
          <w:sz w:val="28"/>
          <w:szCs w:val="28"/>
        </w:rPr>
        <w:t>ведения иммуноглобулина и контрольного образца.</w:t>
      </w:r>
    </w:p>
    <w:p w:rsidR="00CA5F63" w:rsidRPr="00D30228" w:rsidRDefault="00CA5F63" w:rsidP="003652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Чувствительность курин</w:t>
      </w:r>
      <w:r w:rsidR="000A10D0">
        <w:rPr>
          <w:sz w:val="28"/>
          <w:szCs w:val="28"/>
        </w:rPr>
        <w:t xml:space="preserve">ых эмбрионов к вирусу вакцины определяют </w:t>
      </w:r>
      <w:r>
        <w:rPr>
          <w:sz w:val="28"/>
          <w:szCs w:val="28"/>
        </w:rPr>
        <w:t xml:space="preserve">в каждом </w:t>
      </w:r>
      <w:r w:rsidRPr="008F09C6">
        <w:rPr>
          <w:sz w:val="28"/>
          <w:szCs w:val="28"/>
        </w:rPr>
        <w:t xml:space="preserve">испытании по </w:t>
      </w:r>
      <w:r w:rsidR="00307810" w:rsidRPr="008F09C6">
        <w:rPr>
          <w:sz w:val="28"/>
          <w:szCs w:val="28"/>
        </w:rPr>
        <w:t>значению показателя «Специфическая активность»</w:t>
      </w:r>
      <w:r w:rsidR="00307810" w:rsidRPr="008F09C6">
        <w:rPr>
          <w:color w:val="FF0000"/>
          <w:sz w:val="28"/>
          <w:szCs w:val="28"/>
        </w:rPr>
        <w:t xml:space="preserve"> </w:t>
      </w:r>
      <w:r w:rsidR="00307810" w:rsidRPr="008F09C6">
        <w:rPr>
          <w:sz w:val="28"/>
          <w:szCs w:val="28"/>
        </w:rPr>
        <w:t>стандартного образца активности специфичности и некротической активности оспенной вакцины</w:t>
      </w:r>
      <w:r w:rsidR="00307810" w:rsidRPr="00D30228">
        <w:rPr>
          <w:sz w:val="28"/>
          <w:szCs w:val="28"/>
        </w:rPr>
        <w:t xml:space="preserve"> на ХАО </w:t>
      </w:r>
      <w:r w:rsidRPr="00D30228">
        <w:rPr>
          <w:sz w:val="28"/>
          <w:szCs w:val="28"/>
        </w:rPr>
        <w:t>КЭ согласно инструкции по его применению.</w:t>
      </w:r>
    </w:p>
    <w:p w:rsidR="00CA5F63" w:rsidRDefault="000A10D0" w:rsidP="003652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результатов.</w:t>
      </w:r>
    </w:p>
    <w:p w:rsidR="00CA5F63" w:rsidRDefault="000A10D0" w:rsidP="00365279">
      <w:pPr>
        <w:spacing w:line="360" w:lineRule="auto"/>
        <w:ind w:firstLine="709"/>
        <w:jc w:val="both"/>
        <w:rPr>
          <w:sz w:val="28"/>
          <w:szCs w:val="28"/>
        </w:rPr>
      </w:pPr>
      <w:r w:rsidRPr="008F09C6">
        <w:rPr>
          <w:sz w:val="28"/>
          <w:szCs w:val="28"/>
        </w:rPr>
        <w:t xml:space="preserve">В исследовании должны быть подтверждены </w:t>
      </w:r>
      <w:r w:rsidR="00CA5F63" w:rsidRPr="008F09C6">
        <w:rPr>
          <w:sz w:val="28"/>
          <w:szCs w:val="28"/>
        </w:rPr>
        <w:t>установле</w:t>
      </w:r>
      <w:r w:rsidR="007057CF" w:rsidRPr="008F09C6">
        <w:rPr>
          <w:sz w:val="28"/>
          <w:szCs w:val="28"/>
        </w:rPr>
        <w:t>нный показатель специфической активности стандартного образца активности специфичности и некротической активности оспенной вакцины</w:t>
      </w:r>
      <w:r w:rsidR="008F09C6" w:rsidRPr="008F09C6">
        <w:rPr>
          <w:sz w:val="28"/>
          <w:szCs w:val="28"/>
        </w:rPr>
        <w:t xml:space="preserve">. </w:t>
      </w:r>
      <w:r w:rsidRPr="008F09C6">
        <w:rPr>
          <w:sz w:val="28"/>
          <w:szCs w:val="28"/>
        </w:rPr>
        <w:t xml:space="preserve">Титром препарата считают </w:t>
      </w:r>
      <w:r w:rsidR="00CA5F63" w:rsidRPr="008F09C6">
        <w:rPr>
          <w:sz w:val="28"/>
          <w:szCs w:val="28"/>
        </w:rPr>
        <w:t>его конечное разведение, дающ</w:t>
      </w:r>
      <w:r w:rsidRPr="008F09C6">
        <w:rPr>
          <w:sz w:val="28"/>
          <w:szCs w:val="28"/>
        </w:rPr>
        <w:t xml:space="preserve">ее нейтрализацию не менее 50 % оспин от числа оспин, образуемых с контрольным отрицательным образцом донорской </w:t>
      </w:r>
      <w:r w:rsidR="00CA5F63" w:rsidRPr="008F09C6">
        <w:rPr>
          <w:sz w:val="28"/>
          <w:szCs w:val="28"/>
        </w:rPr>
        <w:t>сыворотки.</w:t>
      </w:r>
    </w:p>
    <w:p w:rsidR="009C2DAD" w:rsidRPr="008F09C6" w:rsidRDefault="009C2DAD" w:rsidP="009C2DAD">
      <w:pPr>
        <w:pStyle w:val="a3"/>
        <w:ind w:firstLine="720"/>
        <w:jc w:val="both"/>
        <w:rPr>
          <w:b/>
          <w:color w:val="000000" w:themeColor="text1"/>
          <w:szCs w:val="28"/>
        </w:rPr>
      </w:pPr>
      <w:r w:rsidRPr="008F09C6">
        <w:rPr>
          <w:b/>
          <w:color w:val="000000" w:themeColor="text1"/>
          <w:szCs w:val="28"/>
        </w:rPr>
        <w:t>Примечание.</w:t>
      </w:r>
    </w:p>
    <w:p w:rsidR="00962A25" w:rsidRPr="008F09C6" w:rsidRDefault="00962A25" w:rsidP="00AD38D1">
      <w:pPr>
        <w:pStyle w:val="a3"/>
        <w:spacing w:line="240" w:lineRule="auto"/>
        <w:ind w:firstLine="709"/>
        <w:jc w:val="both"/>
        <w:rPr>
          <w:color w:val="000000" w:themeColor="text1"/>
          <w:szCs w:val="28"/>
          <w:u w:val="single"/>
        </w:rPr>
      </w:pPr>
      <w:r w:rsidRPr="008F09C6">
        <w:rPr>
          <w:color w:val="000000" w:themeColor="text1"/>
          <w:szCs w:val="28"/>
          <w:u w:val="single"/>
        </w:rPr>
        <w:t xml:space="preserve">Фосфатно-цитратный буферный раствор Мак-Мльвейна 0,004 М, рН </w:t>
      </w:r>
      <w:r w:rsidRPr="008F09C6">
        <w:rPr>
          <w:color w:val="000000" w:themeColor="text1"/>
          <w:szCs w:val="28"/>
        </w:rPr>
        <w:t>7,2- 7,4.</w:t>
      </w:r>
    </w:p>
    <w:p w:rsidR="00962A25" w:rsidRPr="008F09C6" w:rsidRDefault="00962A25" w:rsidP="00AD38D1">
      <w:pPr>
        <w:pStyle w:val="a3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8F09C6">
        <w:rPr>
          <w:color w:val="000000" w:themeColor="text1"/>
          <w:szCs w:val="28"/>
        </w:rPr>
        <w:t xml:space="preserve">Готовят растворы 1 и 2. </w:t>
      </w:r>
    </w:p>
    <w:p w:rsidR="00962A25" w:rsidRPr="008F09C6" w:rsidRDefault="00962A25" w:rsidP="00AD38D1">
      <w:pPr>
        <w:pStyle w:val="a3"/>
        <w:spacing w:line="240" w:lineRule="auto"/>
        <w:ind w:firstLine="709"/>
        <w:jc w:val="both"/>
        <w:rPr>
          <w:szCs w:val="28"/>
        </w:rPr>
      </w:pPr>
      <w:r w:rsidRPr="008F09C6">
        <w:rPr>
          <w:color w:val="000000" w:themeColor="text1"/>
          <w:szCs w:val="28"/>
          <w:u w:val="single"/>
        </w:rPr>
        <w:t xml:space="preserve">Раствор 1: </w:t>
      </w:r>
      <w:r w:rsidRPr="008F09C6">
        <w:rPr>
          <w:color w:val="000000" w:themeColor="text1"/>
          <w:szCs w:val="28"/>
        </w:rPr>
        <w:t xml:space="preserve">Кислота лимонная – 2,1 г; вода очищенная </w:t>
      </w:r>
      <w:r w:rsidRPr="008F09C6">
        <w:rPr>
          <w:color w:val="000000" w:themeColor="text1"/>
          <w:szCs w:val="28"/>
        </w:rPr>
        <w:sym w:font="Symbol" w:char="F02D"/>
      </w:r>
      <w:r w:rsidRPr="008F09C6">
        <w:rPr>
          <w:color w:val="000000" w:themeColor="text1"/>
          <w:szCs w:val="28"/>
        </w:rPr>
        <w:t xml:space="preserve"> 100 мл;</w:t>
      </w:r>
    </w:p>
    <w:p w:rsidR="00962A25" w:rsidRPr="00054B95" w:rsidRDefault="00962A25" w:rsidP="00AD38D1">
      <w:pPr>
        <w:pStyle w:val="71"/>
        <w:shd w:val="clear" w:color="auto" w:fill="auto"/>
        <w:tabs>
          <w:tab w:val="left" w:pos="3240"/>
        </w:tabs>
        <w:spacing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8F09C6">
        <w:rPr>
          <w:rFonts w:cs="Times New Roman"/>
          <w:color w:val="000000" w:themeColor="text1"/>
          <w:sz w:val="28"/>
          <w:szCs w:val="28"/>
          <w:u w:val="single"/>
        </w:rPr>
        <w:t xml:space="preserve">Раствор 2: </w:t>
      </w:r>
      <w:r w:rsidRPr="008F09C6">
        <w:rPr>
          <w:rFonts w:cs="Times New Roman"/>
          <w:color w:val="000000" w:themeColor="text1"/>
          <w:sz w:val="28"/>
          <w:szCs w:val="28"/>
        </w:rPr>
        <w:t>Натрия гидрофосфат додекагидрат – 35,6 г (перед взвешиванием просушивают при температуре от 35 до 39</w:t>
      </w:r>
      <w:proofErr w:type="gramStart"/>
      <w:r w:rsidRPr="008F09C6">
        <w:rPr>
          <w:rFonts w:cs="Times New Roman"/>
          <w:color w:val="000000" w:themeColor="text1"/>
          <w:sz w:val="28"/>
          <w:szCs w:val="28"/>
        </w:rPr>
        <w:t>°С</w:t>
      </w:r>
      <w:proofErr w:type="gramEnd"/>
      <w:r w:rsidRPr="008F09C6">
        <w:rPr>
          <w:rFonts w:cs="Times New Roman"/>
          <w:color w:val="000000" w:themeColor="text1"/>
          <w:sz w:val="28"/>
          <w:szCs w:val="28"/>
        </w:rPr>
        <w:t xml:space="preserve"> до постоянного веса)</w:t>
      </w:r>
      <w:r w:rsidR="00AD38D1">
        <w:rPr>
          <w:rFonts w:cs="Times New Roman"/>
          <w:color w:val="000000" w:themeColor="text1"/>
          <w:sz w:val="28"/>
          <w:szCs w:val="28"/>
        </w:rPr>
        <w:t>,</w:t>
      </w:r>
      <w:r w:rsidRPr="008F09C6">
        <w:rPr>
          <w:rFonts w:cs="Times New Roman"/>
          <w:color w:val="000000" w:themeColor="text1"/>
          <w:sz w:val="28"/>
          <w:szCs w:val="28"/>
        </w:rPr>
        <w:t xml:space="preserve">  растворяют в воде очищенной в мерной колбе вместимостью </w:t>
      </w:r>
      <w:r w:rsidRPr="008F09C6">
        <w:rPr>
          <w:color w:val="000000" w:themeColor="text1"/>
          <w:sz w:val="28"/>
          <w:szCs w:val="28"/>
        </w:rPr>
        <w:t xml:space="preserve">1000 мл, </w:t>
      </w:r>
      <w:r w:rsidRPr="008F09C6">
        <w:rPr>
          <w:rFonts w:cs="Times New Roman"/>
          <w:color w:val="000000" w:themeColor="text1"/>
          <w:sz w:val="28"/>
          <w:szCs w:val="28"/>
        </w:rPr>
        <w:t>доводят объем раствора тем же растворителем до метки и перемешивают.</w:t>
      </w:r>
    </w:p>
    <w:p w:rsidR="00962A25" w:rsidRDefault="00962A25" w:rsidP="00AD38D1">
      <w:pPr>
        <w:pStyle w:val="a3"/>
        <w:tabs>
          <w:tab w:val="left" w:pos="8299"/>
        </w:tabs>
        <w:spacing w:line="240" w:lineRule="auto"/>
        <w:ind w:firstLine="709"/>
        <w:jc w:val="both"/>
        <w:rPr>
          <w:szCs w:val="28"/>
        </w:rPr>
      </w:pPr>
      <w:r w:rsidRPr="008F09C6">
        <w:rPr>
          <w:color w:val="000000" w:themeColor="text1"/>
          <w:szCs w:val="28"/>
        </w:rPr>
        <w:t xml:space="preserve">Смешивают 2,0 мл раствора 1 и 18,0 мл раствора 2 в мерной колбе вместимостью 1000 мл, доводят объем раствора водой очищенной до метки и перемешивают. Полученный раствор должен иметь </w:t>
      </w:r>
      <w:proofErr w:type="spellStart"/>
      <w:r w:rsidRPr="008F09C6">
        <w:rPr>
          <w:color w:val="000000" w:themeColor="text1"/>
          <w:szCs w:val="28"/>
        </w:rPr>
        <w:t>рН</w:t>
      </w:r>
      <w:proofErr w:type="spellEnd"/>
      <w:r w:rsidRPr="008F09C6">
        <w:rPr>
          <w:color w:val="000000" w:themeColor="text1"/>
          <w:szCs w:val="28"/>
        </w:rPr>
        <w:t xml:space="preserve"> 7,2 – 7,4</w:t>
      </w:r>
      <w:r w:rsidR="00AD38D1">
        <w:rPr>
          <w:color w:val="000000" w:themeColor="text1"/>
          <w:szCs w:val="28"/>
        </w:rPr>
        <w:t>. Е</w:t>
      </w:r>
      <w:r w:rsidRPr="008F09C6">
        <w:rPr>
          <w:color w:val="000000" w:themeColor="text1"/>
          <w:szCs w:val="28"/>
        </w:rPr>
        <w:t xml:space="preserve">сли </w:t>
      </w:r>
      <w:proofErr w:type="spellStart"/>
      <w:r w:rsidRPr="008F09C6">
        <w:rPr>
          <w:color w:val="000000" w:themeColor="text1"/>
          <w:szCs w:val="28"/>
        </w:rPr>
        <w:t>рН</w:t>
      </w:r>
      <w:proofErr w:type="spellEnd"/>
      <w:r w:rsidRPr="008F09C6">
        <w:rPr>
          <w:color w:val="000000" w:themeColor="text1"/>
          <w:szCs w:val="28"/>
        </w:rPr>
        <w:t xml:space="preserve">  </w:t>
      </w:r>
      <w:r w:rsidR="00AD38D1">
        <w:rPr>
          <w:color w:val="000000" w:themeColor="text1"/>
          <w:szCs w:val="28"/>
        </w:rPr>
        <w:t xml:space="preserve">полученного </w:t>
      </w:r>
      <w:r w:rsidRPr="008F09C6">
        <w:rPr>
          <w:color w:val="000000" w:themeColor="text1"/>
          <w:szCs w:val="28"/>
        </w:rPr>
        <w:t xml:space="preserve">раствора более 7,4, его доводят до нормы раствором 1. В случае, если рН полученного раствора меньше 7,2 – приготовление раствора повторяют.  </w:t>
      </w:r>
      <w:proofErr w:type="gramStart"/>
      <w:r w:rsidRPr="008F09C6">
        <w:rPr>
          <w:color w:val="000000" w:themeColor="text1"/>
          <w:szCs w:val="28"/>
        </w:rPr>
        <w:t xml:space="preserve">Буферный раствор стерилизуют при давлении (0,1±0,01) МПа, </w:t>
      </w:r>
      <w:r w:rsidRPr="008F09C6">
        <w:rPr>
          <w:color w:val="000000" w:themeColor="text1"/>
          <w:szCs w:val="28"/>
        </w:rPr>
        <w:lastRenderedPageBreak/>
        <w:t>температуре (120±1) °С в течение 8 – 30 мин (в зависимости от объема) или фильтр</w:t>
      </w:r>
      <w:r w:rsidR="00AD38D1">
        <w:rPr>
          <w:color w:val="000000" w:themeColor="text1"/>
          <w:szCs w:val="28"/>
        </w:rPr>
        <w:t>уют</w:t>
      </w:r>
      <w:r w:rsidRPr="008F09C6">
        <w:rPr>
          <w:color w:val="000000" w:themeColor="text1"/>
          <w:szCs w:val="28"/>
        </w:rPr>
        <w:t xml:space="preserve"> через мембраны с диаметром пор 0,22 мкм и хранят при температуре от 2 до 8 °С. </w:t>
      </w:r>
      <w:r w:rsidRPr="008F09C6">
        <w:rPr>
          <w:szCs w:val="28"/>
        </w:rPr>
        <w:t>Срок хранения  от 10 до 30 сут</w:t>
      </w:r>
      <w:r w:rsidR="00C4121E" w:rsidRPr="008F09C6">
        <w:rPr>
          <w:szCs w:val="28"/>
        </w:rPr>
        <w:t>ок</w:t>
      </w:r>
      <w:r w:rsidRPr="008F09C6">
        <w:rPr>
          <w:szCs w:val="28"/>
        </w:rPr>
        <w:t xml:space="preserve"> в зависимости от способа укупорки флаконов.</w:t>
      </w:r>
      <w:proofErr w:type="gramEnd"/>
    </w:p>
    <w:p w:rsidR="003471AD" w:rsidRPr="00BC1BAF" w:rsidRDefault="003471AD" w:rsidP="00AD38D1">
      <w:pPr>
        <w:pStyle w:val="a3"/>
        <w:tabs>
          <w:tab w:val="left" w:pos="8299"/>
        </w:tabs>
        <w:spacing w:line="240" w:lineRule="auto"/>
        <w:ind w:firstLine="709"/>
        <w:jc w:val="both"/>
        <w:rPr>
          <w:szCs w:val="28"/>
        </w:rPr>
      </w:pPr>
    </w:p>
    <w:p w:rsidR="00CA5F63" w:rsidRPr="008C0267" w:rsidRDefault="00CA5F63" w:rsidP="00365279">
      <w:pPr>
        <w:spacing w:line="360" w:lineRule="auto"/>
        <w:ind w:firstLine="709"/>
        <w:jc w:val="both"/>
        <w:rPr>
          <w:sz w:val="28"/>
          <w:szCs w:val="28"/>
        </w:rPr>
      </w:pPr>
      <w:r w:rsidRPr="00E26890">
        <w:rPr>
          <w:b/>
          <w:sz w:val="28"/>
          <w:szCs w:val="28"/>
        </w:rPr>
        <w:t>Поверхностный антиген вируса гепатита В (</w:t>
      </w:r>
      <w:r w:rsidRPr="00E26890">
        <w:rPr>
          <w:b/>
          <w:sz w:val="28"/>
          <w:szCs w:val="28"/>
          <w:lang w:val="en-US"/>
        </w:rPr>
        <w:t>HBsAg</w:t>
      </w:r>
      <w:r w:rsidRPr="00E26890">
        <w:rPr>
          <w:b/>
          <w:sz w:val="28"/>
          <w:szCs w:val="28"/>
        </w:rPr>
        <w:t>).</w:t>
      </w:r>
      <w:r>
        <w:rPr>
          <w:b/>
          <w:sz w:val="28"/>
          <w:szCs w:val="28"/>
        </w:rPr>
        <w:t xml:space="preserve"> </w:t>
      </w:r>
      <w:r w:rsidRPr="006D5799">
        <w:rPr>
          <w:sz w:val="28"/>
          <w:szCs w:val="28"/>
        </w:rPr>
        <w:t xml:space="preserve">Препарат </w:t>
      </w:r>
      <w:r>
        <w:rPr>
          <w:sz w:val="28"/>
          <w:szCs w:val="28"/>
        </w:rPr>
        <w:t>не должен содержать поверхностного антигена вируса гепатита В. Определение проводят иммуноферментным методом с использованием тест-систем, разрешенных к применению в</w:t>
      </w:r>
      <w:r w:rsidR="00C641E5">
        <w:rPr>
          <w:sz w:val="28"/>
          <w:szCs w:val="28"/>
        </w:rPr>
        <w:t xml:space="preserve"> практике здравоохранения Российской Федерации</w:t>
      </w:r>
      <w:r>
        <w:rPr>
          <w:sz w:val="28"/>
          <w:szCs w:val="28"/>
        </w:rPr>
        <w:t>.</w:t>
      </w:r>
    </w:p>
    <w:p w:rsidR="003F40BD" w:rsidRDefault="00CA5F63" w:rsidP="00365279">
      <w:pPr>
        <w:spacing w:line="360" w:lineRule="auto"/>
        <w:ind w:firstLine="709"/>
        <w:jc w:val="both"/>
        <w:rPr>
          <w:sz w:val="28"/>
          <w:szCs w:val="28"/>
        </w:rPr>
      </w:pPr>
      <w:r w:rsidRPr="00546A8D">
        <w:rPr>
          <w:b/>
          <w:sz w:val="28"/>
          <w:szCs w:val="28"/>
        </w:rPr>
        <w:t xml:space="preserve">Антитела к вирусу гепатита С. </w:t>
      </w:r>
      <w:r w:rsidRPr="00546A8D">
        <w:rPr>
          <w:sz w:val="28"/>
          <w:szCs w:val="28"/>
        </w:rPr>
        <w:t>Антитела к вирусу гепатита С должны отсутствовать.</w:t>
      </w:r>
      <w:r>
        <w:rPr>
          <w:sz w:val="28"/>
          <w:szCs w:val="28"/>
        </w:rPr>
        <w:t xml:space="preserve"> Определение проводят иммуноферментным методом с использованием тест-систем, разрешенных к применению в</w:t>
      </w:r>
      <w:r w:rsidR="00C641E5">
        <w:rPr>
          <w:sz w:val="28"/>
          <w:szCs w:val="28"/>
        </w:rPr>
        <w:t xml:space="preserve"> практике здравоохранения Российской Федерации</w:t>
      </w:r>
      <w:r>
        <w:rPr>
          <w:sz w:val="28"/>
          <w:szCs w:val="28"/>
        </w:rPr>
        <w:t>.</w:t>
      </w:r>
    </w:p>
    <w:p w:rsidR="000A10D0" w:rsidRDefault="00CA5F63" w:rsidP="0026456F">
      <w:pPr>
        <w:spacing w:line="360" w:lineRule="auto"/>
        <w:ind w:firstLine="709"/>
        <w:jc w:val="both"/>
        <w:rPr>
          <w:sz w:val="28"/>
          <w:szCs w:val="28"/>
        </w:rPr>
      </w:pPr>
      <w:r w:rsidRPr="00546A8D">
        <w:rPr>
          <w:b/>
          <w:sz w:val="28"/>
          <w:szCs w:val="28"/>
        </w:rPr>
        <w:t>Антитела к вирусу иммунодефицита человека (ВИЧ-1и ВИЧ-2).</w:t>
      </w:r>
      <w:r w:rsidRPr="00546A8D">
        <w:rPr>
          <w:sz w:val="28"/>
          <w:szCs w:val="28"/>
        </w:rPr>
        <w:t xml:space="preserve"> </w:t>
      </w:r>
      <w:r w:rsidRPr="006D5799">
        <w:rPr>
          <w:sz w:val="28"/>
          <w:szCs w:val="28"/>
        </w:rPr>
        <w:t xml:space="preserve">Препарат </w:t>
      </w:r>
      <w:r>
        <w:rPr>
          <w:sz w:val="28"/>
          <w:szCs w:val="28"/>
        </w:rPr>
        <w:t xml:space="preserve"> не должен содержать антител к вирусу</w:t>
      </w:r>
      <w:r w:rsidR="00791A23">
        <w:rPr>
          <w:sz w:val="28"/>
          <w:szCs w:val="28"/>
        </w:rPr>
        <w:t xml:space="preserve"> иммунодефицита человека </w:t>
      </w:r>
      <w:r w:rsidR="00791A23" w:rsidRPr="008F09C6">
        <w:rPr>
          <w:sz w:val="28"/>
          <w:szCs w:val="28"/>
        </w:rPr>
        <w:t>(ВИЧ-1</w:t>
      </w:r>
      <w:r w:rsidR="0026456F" w:rsidRPr="008F09C6">
        <w:rPr>
          <w:sz w:val="28"/>
          <w:szCs w:val="28"/>
        </w:rPr>
        <w:t>,</w:t>
      </w:r>
      <w:r w:rsidRPr="008F09C6">
        <w:rPr>
          <w:sz w:val="28"/>
          <w:szCs w:val="28"/>
        </w:rPr>
        <w:t xml:space="preserve"> ВИЧ-2</w:t>
      </w:r>
      <w:r w:rsidR="0026456F" w:rsidRPr="008F09C6">
        <w:rPr>
          <w:sz w:val="28"/>
          <w:szCs w:val="28"/>
        </w:rPr>
        <w:t xml:space="preserve"> и</w:t>
      </w:r>
      <w:r w:rsidR="00791A23" w:rsidRPr="008F09C6">
        <w:rPr>
          <w:sz w:val="28"/>
          <w:szCs w:val="28"/>
        </w:rPr>
        <w:t xml:space="preserve"> </w:t>
      </w:r>
      <w:r w:rsidR="0026456F" w:rsidRPr="008F09C6">
        <w:rPr>
          <w:sz w:val="28"/>
          <w:szCs w:val="28"/>
        </w:rPr>
        <w:t>антигена Р-24 Вич-1).</w:t>
      </w:r>
      <w:r w:rsidR="0026456F">
        <w:rPr>
          <w:sz w:val="28"/>
          <w:szCs w:val="28"/>
        </w:rPr>
        <w:t xml:space="preserve"> Определение проводят иммуноферментным методом с использованием тест-систем, разрешенных к применению в практике здравоохранения Российской Федерации.</w:t>
      </w:r>
    </w:p>
    <w:p w:rsidR="007950C6" w:rsidRPr="00C0750B" w:rsidRDefault="007950C6" w:rsidP="007950C6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09C6">
        <w:rPr>
          <w:rFonts w:ascii="Times New Roman" w:hAnsi="Times New Roman"/>
          <w:b/>
          <w:sz w:val="28"/>
          <w:szCs w:val="28"/>
        </w:rPr>
        <w:t>Упаковка и маркировка.</w:t>
      </w:r>
      <w:r w:rsidRPr="008F09C6">
        <w:rPr>
          <w:rFonts w:ascii="Times New Roman" w:hAnsi="Times New Roman"/>
          <w:sz w:val="28"/>
          <w:szCs w:val="28"/>
        </w:rPr>
        <w:t xml:space="preserve"> В соответствии с ОФС «Иммунобиологические лекарственные препараты».</w:t>
      </w:r>
    </w:p>
    <w:p w:rsidR="00CA5F63" w:rsidRPr="004472CA" w:rsidRDefault="00CA5F63" w:rsidP="0036527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65B4D">
        <w:rPr>
          <w:b/>
          <w:sz w:val="28"/>
          <w:szCs w:val="28"/>
        </w:rPr>
        <w:t>Транспортирование и хранение.</w:t>
      </w:r>
      <w:r>
        <w:rPr>
          <w:sz w:val="28"/>
          <w:szCs w:val="28"/>
        </w:rPr>
        <w:t xml:space="preserve"> При температуре от 2 до 8 °С. Замораживание не </w:t>
      </w:r>
      <w:r w:rsidRPr="003A4B87">
        <w:rPr>
          <w:sz w:val="28"/>
          <w:szCs w:val="28"/>
        </w:rPr>
        <w:t>допускается.</w:t>
      </w:r>
    </w:p>
    <w:p w:rsidR="00E570C2" w:rsidRDefault="00E570C2" w:rsidP="00E570C2"/>
    <w:sectPr w:rsidR="00E570C2" w:rsidSect="00DB6EE5">
      <w:footerReference w:type="default" r:id="rId8"/>
      <w:pgSz w:w="11906" w:h="16838"/>
      <w:pgMar w:top="1418" w:right="85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E7D" w:rsidRDefault="00A81E7D" w:rsidP="007C7E13">
      <w:r>
        <w:separator/>
      </w:r>
    </w:p>
  </w:endnote>
  <w:endnote w:type="continuationSeparator" w:id="0">
    <w:p w:rsidR="00A81E7D" w:rsidRDefault="00A81E7D" w:rsidP="007C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9486"/>
      <w:docPartObj>
        <w:docPartGallery w:val="Page Numbers (Bottom of Page)"/>
        <w:docPartUnique/>
      </w:docPartObj>
    </w:sdtPr>
    <w:sdtContent>
      <w:p w:rsidR="00D16E4B" w:rsidRDefault="00F14CDF">
        <w:pPr>
          <w:pStyle w:val="a5"/>
          <w:jc w:val="center"/>
        </w:pPr>
        <w:fldSimple w:instr=" PAGE   \* MERGEFORMAT ">
          <w:r w:rsidR="003471AD">
            <w:rPr>
              <w:noProof/>
            </w:rPr>
            <w:t>8</w:t>
          </w:r>
        </w:fldSimple>
      </w:p>
    </w:sdtContent>
  </w:sdt>
  <w:p w:rsidR="00D16E4B" w:rsidRDefault="00D16E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E7D" w:rsidRDefault="00A81E7D" w:rsidP="007C7E13">
      <w:r>
        <w:separator/>
      </w:r>
    </w:p>
  </w:footnote>
  <w:footnote w:type="continuationSeparator" w:id="0">
    <w:p w:rsidR="00A81E7D" w:rsidRDefault="00A81E7D" w:rsidP="007C7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6A41"/>
    <w:multiLevelType w:val="hybridMultilevel"/>
    <w:tmpl w:val="61208984"/>
    <w:lvl w:ilvl="0" w:tplc="CF5C7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F63"/>
    <w:rsid w:val="00001AD6"/>
    <w:rsid w:val="00014B84"/>
    <w:rsid w:val="000254B1"/>
    <w:rsid w:val="000505A8"/>
    <w:rsid w:val="000644C9"/>
    <w:rsid w:val="000754D8"/>
    <w:rsid w:val="00081D08"/>
    <w:rsid w:val="000A10D0"/>
    <w:rsid w:val="000B7D5E"/>
    <w:rsid w:val="000C23A1"/>
    <w:rsid w:val="000D5C0E"/>
    <w:rsid w:val="000D7D14"/>
    <w:rsid w:val="000E0E70"/>
    <w:rsid w:val="001249F3"/>
    <w:rsid w:val="001454CE"/>
    <w:rsid w:val="001721FE"/>
    <w:rsid w:val="001C0596"/>
    <w:rsid w:val="001C27E7"/>
    <w:rsid w:val="001D5256"/>
    <w:rsid w:val="001E54A1"/>
    <w:rsid w:val="001E6CEE"/>
    <w:rsid w:val="001F1B86"/>
    <w:rsid w:val="0022598F"/>
    <w:rsid w:val="00254D6D"/>
    <w:rsid w:val="0026456F"/>
    <w:rsid w:val="002818AD"/>
    <w:rsid w:val="002844F6"/>
    <w:rsid w:val="002919B2"/>
    <w:rsid w:val="002B3B00"/>
    <w:rsid w:val="002F5D85"/>
    <w:rsid w:val="002F769F"/>
    <w:rsid w:val="00307810"/>
    <w:rsid w:val="003471AD"/>
    <w:rsid w:val="00356C62"/>
    <w:rsid w:val="00365279"/>
    <w:rsid w:val="00386E0F"/>
    <w:rsid w:val="00397CE8"/>
    <w:rsid w:val="003A1ADB"/>
    <w:rsid w:val="003A362D"/>
    <w:rsid w:val="003F40BD"/>
    <w:rsid w:val="00405BF5"/>
    <w:rsid w:val="0042656B"/>
    <w:rsid w:val="00465D64"/>
    <w:rsid w:val="00483C92"/>
    <w:rsid w:val="004C5064"/>
    <w:rsid w:val="004D0283"/>
    <w:rsid w:val="004D4D93"/>
    <w:rsid w:val="004E6886"/>
    <w:rsid w:val="00501F45"/>
    <w:rsid w:val="0050554E"/>
    <w:rsid w:val="00520624"/>
    <w:rsid w:val="0052183D"/>
    <w:rsid w:val="00523240"/>
    <w:rsid w:val="005652BE"/>
    <w:rsid w:val="005937BB"/>
    <w:rsid w:val="005A321A"/>
    <w:rsid w:val="005C3780"/>
    <w:rsid w:val="005D08A2"/>
    <w:rsid w:val="005D57DA"/>
    <w:rsid w:val="00610617"/>
    <w:rsid w:val="00614C75"/>
    <w:rsid w:val="0063632E"/>
    <w:rsid w:val="00660E15"/>
    <w:rsid w:val="0066299F"/>
    <w:rsid w:val="00674461"/>
    <w:rsid w:val="006800AB"/>
    <w:rsid w:val="00681F20"/>
    <w:rsid w:val="006C25DC"/>
    <w:rsid w:val="006C4F41"/>
    <w:rsid w:val="006D13AC"/>
    <w:rsid w:val="006F539A"/>
    <w:rsid w:val="007057CF"/>
    <w:rsid w:val="00707472"/>
    <w:rsid w:val="007134D3"/>
    <w:rsid w:val="00720A2B"/>
    <w:rsid w:val="007345E9"/>
    <w:rsid w:val="0076580E"/>
    <w:rsid w:val="007704F2"/>
    <w:rsid w:val="00791A23"/>
    <w:rsid w:val="007950C6"/>
    <w:rsid w:val="007B1002"/>
    <w:rsid w:val="007B584E"/>
    <w:rsid w:val="007C33D7"/>
    <w:rsid w:val="007C65E2"/>
    <w:rsid w:val="007C7E13"/>
    <w:rsid w:val="007F028B"/>
    <w:rsid w:val="007F7A1E"/>
    <w:rsid w:val="0080269A"/>
    <w:rsid w:val="00850D95"/>
    <w:rsid w:val="00863F34"/>
    <w:rsid w:val="00864EB0"/>
    <w:rsid w:val="008B3B77"/>
    <w:rsid w:val="008C0267"/>
    <w:rsid w:val="008C3078"/>
    <w:rsid w:val="008F09C6"/>
    <w:rsid w:val="008F2904"/>
    <w:rsid w:val="008F359E"/>
    <w:rsid w:val="00910E64"/>
    <w:rsid w:val="009128CC"/>
    <w:rsid w:val="009321F0"/>
    <w:rsid w:val="00962A25"/>
    <w:rsid w:val="00976D06"/>
    <w:rsid w:val="009947F5"/>
    <w:rsid w:val="00995AA6"/>
    <w:rsid w:val="009C2DAD"/>
    <w:rsid w:val="009D61F3"/>
    <w:rsid w:val="009D6420"/>
    <w:rsid w:val="009D6A19"/>
    <w:rsid w:val="009F4EDE"/>
    <w:rsid w:val="009F6B74"/>
    <w:rsid w:val="00A00440"/>
    <w:rsid w:val="00A06D8E"/>
    <w:rsid w:val="00A1241A"/>
    <w:rsid w:val="00A36D37"/>
    <w:rsid w:val="00A40B88"/>
    <w:rsid w:val="00A42764"/>
    <w:rsid w:val="00A431CE"/>
    <w:rsid w:val="00A81E7D"/>
    <w:rsid w:val="00A84632"/>
    <w:rsid w:val="00A85A4D"/>
    <w:rsid w:val="00A9675E"/>
    <w:rsid w:val="00AA40BD"/>
    <w:rsid w:val="00AC1858"/>
    <w:rsid w:val="00AC5D49"/>
    <w:rsid w:val="00AD38D1"/>
    <w:rsid w:val="00AF2221"/>
    <w:rsid w:val="00B16C56"/>
    <w:rsid w:val="00B613C9"/>
    <w:rsid w:val="00B73B7C"/>
    <w:rsid w:val="00BA1646"/>
    <w:rsid w:val="00BB5163"/>
    <w:rsid w:val="00BB5411"/>
    <w:rsid w:val="00BC1BAF"/>
    <w:rsid w:val="00BD4544"/>
    <w:rsid w:val="00BE3C52"/>
    <w:rsid w:val="00BF0F3B"/>
    <w:rsid w:val="00BF2253"/>
    <w:rsid w:val="00C02E0B"/>
    <w:rsid w:val="00C1400F"/>
    <w:rsid w:val="00C145D0"/>
    <w:rsid w:val="00C319B9"/>
    <w:rsid w:val="00C401C1"/>
    <w:rsid w:val="00C4121E"/>
    <w:rsid w:val="00C4742B"/>
    <w:rsid w:val="00C55DCC"/>
    <w:rsid w:val="00C641E5"/>
    <w:rsid w:val="00C6708B"/>
    <w:rsid w:val="00C90FF8"/>
    <w:rsid w:val="00CA19ED"/>
    <w:rsid w:val="00CA5F63"/>
    <w:rsid w:val="00CB5837"/>
    <w:rsid w:val="00CC0ABC"/>
    <w:rsid w:val="00CF2FA8"/>
    <w:rsid w:val="00CF6571"/>
    <w:rsid w:val="00CF692F"/>
    <w:rsid w:val="00D14BB6"/>
    <w:rsid w:val="00D16E4B"/>
    <w:rsid w:val="00D209DF"/>
    <w:rsid w:val="00D22969"/>
    <w:rsid w:val="00D30228"/>
    <w:rsid w:val="00D55AF9"/>
    <w:rsid w:val="00D634E7"/>
    <w:rsid w:val="00D64055"/>
    <w:rsid w:val="00D84D18"/>
    <w:rsid w:val="00D9006D"/>
    <w:rsid w:val="00D95469"/>
    <w:rsid w:val="00DB6EE5"/>
    <w:rsid w:val="00DE4958"/>
    <w:rsid w:val="00DE7AD0"/>
    <w:rsid w:val="00DE7BA1"/>
    <w:rsid w:val="00E437A6"/>
    <w:rsid w:val="00E472E1"/>
    <w:rsid w:val="00E570C2"/>
    <w:rsid w:val="00E64F0A"/>
    <w:rsid w:val="00E836E8"/>
    <w:rsid w:val="00EA64BB"/>
    <w:rsid w:val="00EB4CC1"/>
    <w:rsid w:val="00F010A5"/>
    <w:rsid w:val="00F01B89"/>
    <w:rsid w:val="00F132C1"/>
    <w:rsid w:val="00F14CDF"/>
    <w:rsid w:val="00F170D1"/>
    <w:rsid w:val="00F709AA"/>
    <w:rsid w:val="00F86A04"/>
    <w:rsid w:val="00F96D89"/>
    <w:rsid w:val="00F97D4F"/>
    <w:rsid w:val="00FA0717"/>
    <w:rsid w:val="00FB1FDC"/>
    <w:rsid w:val="00FB23C9"/>
    <w:rsid w:val="00FC1179"/>
    <w:rsid w:val="00FD5A74"/>
    <w:rsid w:val="00FD6E2A"/>
    <w:rsid w:val="00FD7206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5F63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A5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rsid w:val="00CA5F63"/>
    <w:pPr>
      <w:spacing w:after="120"/>
    </w:pPr>
    <w:rPr>
      <w:rFonts w:ascii="NTHarmonica" w:hAnsi="NTHarmonica"/>
      <w:szCs w:val="20"/>
    </w:rPr>
  </w:style>
  <w:style w:type="paragraph" w:styleId="a5">
    <w:name w:val="footer"/>
    <w:basedOn w:val="a"/>
    <w:link w:val="a6"/>
    <w:uiPriority w:val="99"/>
    <w:unhideWhenUsed/>
    <w:rsid w:val="00CA5F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5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F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50554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554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05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554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0554E"/>
    <w:rPr>
      <w:b/>
      <w:bCs/>
    </w:rPr>
  </w:style>
  <w:style w:type="paragraph" w:styleId="ae">
    <w:name w:val="List Paragraph"/>
    <w:basedOn w:val="a"/>
    <w:uiPriority w:val="34"/>
    <w:qFormat/>
    <w:rsid w:val="006C4F41"/>
    <w:pPr>
      <w:ind w:left="720"/>
      <w:contextualSpacing/>
    </w:pPr>
  </w:style>
  <w:style w:type="character" w:customStyle="1" w:styleId="7">
    <w:name w:val="Основной текст (7)_"/>
    <w:basedOn w:val="a0"/>
    <w:link w:val="71"/>
    <w:uiPriority w:val="99"/>
    <w:locked/>
    <w:rsid w:val="00E570C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E570C2"/>
    <w:pPr>
      <w:shd w:val="clear" w:color="auto" w:fill="FFFFFF"/>
      <w:spacing w:line="475" w:lineRule="exact"/>
    </w:pPr>
    <w:rPr>
      <w:rFonts w:eastAsiaTheme="minorHAnsi" w:cstheme="minorBidi"/>
      <w:sz w:val="27"/>
      <w:szCs w:val="27"/>
      <w:lang w:eastAsia="en-US"/>
    </w:rPr>
  </w:style>
  <w:style w:type="paragraph" w:styleId="af">
    <w:name w:val="No Spacing"/>
    <w:uiPriority w:val="1"/>
    <w:qFormat/>
    <w:rsid w:val="007950C6"/>
    <w:pPr>
      <w:spacing w:after="0" w:line="240" w:lineRule="auto"/>
    </w:pPr>
    <w:rPr>
      <w:rFonts w:ascii="Calibri" w:eastAsia="Arial Unicode MS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F81ED-226E-4806-BA9D-3DAE155E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Kargina</cp:lastModifiedBy>
  <cp:revision>2</cp:revision>
  <cp:lastPrinted>2014-02-28T05:39:00Z</cp:lastPrinted>
  <dcterms:created xsi:type="dcterms:W3CDTF">2014-03-15T07:22:00Z</dcterms:created>
  <dcterms:modified xsi:type="dcterms:W3CDTF">2014-03-15T07:22:00Z</dcterms:modified>
</cp:coreProperties>
</file>